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2249"/>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249"/>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3840" w:right="0" w:hanging="1606"/>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宿迁市历史文化名城、历史文化街区保护规划编制项目</w:t>
      </w:r>
      <w:r/>
    </w:p>
    <w:p>
      <w:pPr>
        <w:ind w:left="2100" w:right="0" w:firstLine="1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项目编号：JSZC-321300-JYGS-G2026-0004 </w:t>
      </w:r>
      <w:r>
        <w:rPr>
          <w:rFonts w:ascii="SimSun" w:hAnsi="SimSun" w:eastAsia="SimSun" w:cs="SimSun"/>
          <w:color w:val="000000"/>
          <w:sz w:val="21"/>
        </w:rPr>
        <w:t xml:space="preserve">        </w:t>
      </w:r>
      <w:r>
        <w:rPr>
          <w:rFonts w:ascii="SimSun" w:hAnsi="SimSun" w:eastAsia="SimSun" w:cs="SimSun"/>
          <w:b/>
          <w:color w:val="000000"/>
          <w:sz w:val="30"/>
        </w:rPr>
        <w:t xml:space="preserve">   </w:t>
      </w: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21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（服务类项目，</w:t>
      </w:r>
      <w:r>
        <w:rPr>
          <w:rFonts w:ascii="SimSun" w:hAnsi="SimSun" w:eastAsia="SimSun" w:cs="SimSun"/>
          <w:b/>
          <w:color w:val="000000"/>
          <w:sz w:val="30"/>
          <w:u w:val="single"/>
        </w:rPr>
        <w:t xml:space="preserve"> 非 </w:t>
      </w:r>
      <w:r>
        <w:rPr>
          <w:rFonts w:ascii="SimSun" w:hAnsi="SimSun" w:eastAsia="SimSun" w:cs="SimSun"/>
          <w:b/>
          <w:color w:val="000000"/>
          <w:sz w:val="30"/>
        </w:rPr>
        <w:t xml:space="preserve">专门面向中小企业）</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9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宿迁市住房和城乡建设局</w:t>
      </w:r>
      <w:r/>
    </w:p>
    <w:p>
      <w:pPr>
        <w:ind w:left="0" w:right="0" w:firstLine="1606"/>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建银工程咨询有限责任公司</w:t>
      </w:r>
      <w:r/>
    </w:p>
    <w:p>
      <w:pPr>
        <w:ind w:left="0" w:right="0" w:firstLine="257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2026年6月5日</w:t>
      </w:r>
      <w:r/>
    </w:p>
    <w:p>
      <w:pPr>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44"/>
        </w:rPr>
        <w:t xml:space="preserve">总  目  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2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投标邀请…………………………………… 2</w:t>
      </w:r>
      <w:r/>
    </w:p>
    <w:p>
      <w:pPr>
        <w:numPr>
          <w:ilvl w:val="0"/>
          <w:numId w:val="2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投标人须知………………………………… 5</w:t>
      </w:r>
      <w:r/>
    </w:p>
    <w:p>
      <w:pPr>
        <w:numPr>
          <w:ilvl w:val="0"/>
          <w:numId w:val="2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合同文本……………………………………21</w:t>
      </w:r>
      <w:r/>
    </w:p>
    <w:p>
      <w:pPr>
        <w:numPr>
          <w:ilvl w:val="0"/>
          <w:numId w:val="2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采购需求……………………………………32</w:t>
      </w:r>
      <w:r/>
    </w:p>
    <w:p>
      <w:pPr>
        <w:numPr>
          <w:ilvl w:val="0"/>
          <w:numId w:val="2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评标方法与评标标准………………………36</w:t>
      </w:r>
      <w:r/>
    </w:p>
    <w:p>
      <w:pPr>
        <w:numPr>
          <w:ilvl w:val="0"/>
          <w:numId w:val="2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投标文件格式………………………………42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8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  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[宿迁市住房和城乡建设局]</w:t>
      </w:r>
      <w:r>
        <w:rPr>
          <w:rFonts w:ascii="SimSun" w:hAnsi="SimSun" w:eastAsia="SimSun" w:cs="SimSun"/>
          <w:color w:val="000000"/>
          <w:sz w:val="24"/>
        </w:rPr>
        <w:t xml:space="preserve">的委托，</w:t>
      </w:r>
      <w:r>
        <w:rPr>
          <w:rFonts w:ascii="SimSun" w:hAnsi="SimSun" w:eastAsia="SimSun" w:cs="SimSun"/>
          <w:color w:val="000000"/>
          <w:sz w:val="24"/>
          <w:u w:val="single"/>
        </w:rPr>
        <w:t xml:space="preserve">[建银工程咨询有限责任公司]</w:t>
      </w:r>
      <w:r>
        <w:rPr>
          <w:rFonts w:ascii="SimSun" w:hAnsi="SimSun" w:eastAsia="SimSun" w:cs="SimSun"/>
          <w:color w:val="000000"/>
          <w:sz w:val="24"/>
        </w:rPr>
        <w:t xml:space="preserve">就</w:t>
      </w:r>
      <w:r>
        <w:rPr>
          <w:rFonts w:ascii="SimSun" w:hAnsi="SimSun" w:eastAsia="SimSun" w:cs="SimSun"/>
          <w:color w:val="000000"/>
          <w:sz w:val="24"/>
          <w:u w:val="single"/>
        </w:rPr>
        <w:t xml:space="preserve">[宿迁市历史文化名城、历史文化街区保护规划编制项目]（[JSZC-321300-JYGS-G2026-0004]）</w:t>
      </w:r>
      <w:r>
        <w:rPr>
          <w:rFonts w:ascii="SimSun" w:hAnsi="SimSun" w:eastAsia="SimSun" w:cs="SimSun"/>
          <w:color w:val="000000"/>
          <w:sz w:val="24"/>
        </w:rPr>
        <w:t xml:space="preserve">项目进行公开招标采购，欢迎符合条件的投标人投标。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（宿迁市历史文化名城、历史文化街区保护规划编制项目）</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“苏采云“系统 （网址: http://jszfcg.jsczt.cn/）自行免费下载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2026年6月29日9点30分（</w:t>
      </w:r>
      <w:r>
        <w:rPr>
          <w:rFonts w:ascii="SimSun" w:hAnsi="SimSun" w:eastAsia="SimSun" w:cs="SimSun"/>
          <w:color w:val="000000"/>
          <w:sz w:val="24"/>
        </w:rPr>
        <w:t xml:space="preserve">北京时间）前递交投标文件。</w:t>
      </w:r>
      <w:r/>
    </w:p>
    <w:p>
      <w:pPr>
        <w:pStyle w:val="68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1.项目编号：JSZC-321300-JYGS-G2026-0004</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2.项目名称：宿迁市历史文化名城、历史文化街区保护规划编制项目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3.预算金额：216万元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 设定 </w:t>
      </w:r>
      <w:r>
        <w:rPr>
          <w:rFonts w:ascii="SimSun" w:hAnsi="SimSun" w:eastAsia="SimSun" w:cs="SimSun"/>
          <w:color w:val="000000"/>
          <w:sz w:val="24"/>
        </w:rPr>
        <w:t xml:space="preserve">（设定/不设定）最高限价，最高限价为</w:t>
      </w:r>
      <w:r>
        <w:rPr>
          <w:rFonts w:ascii="SimSun" w:hAnsi="SimSun" w:eastAsia="SimSun" w:cs="SimSun"/>
          <w:color w:val="000000"/>
          <w:sz w:val="24"/>
          <w:u w:val="single"/>
        </w:rPr>
        <w:t xml:space="preserve">216</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5.采购需求（简介）：宿迁市历史文化名城、历史文化街区保护规划编制项目（详细内容见本招标文件第四章）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6.合同履行期限：6个月（不含审查和报批时间）。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联合体投标。</w:t>
      </w:r>
      <w:r/>
    </w:p>
    <w:p>
      <w:pPr>
        <w:pStyle w:val="68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1.具备《中华人民共和国政府采购法》第二十二条第一款规定的6项条件（按要求提供投标声明及承诺函）。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投标人须具备城乡规划编制甲级资质。</w:t>
      </w:r>
      <w:r/>
    </w:p>
    <w:p>
      <w:pPr>
        <w:pStyle w:val="68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1.时间：2026年6月5日9:00至2026年6月12日17:30。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2.方式：投标人应在招标文件提供的时间内，通过</w:t>
      </w:r>
      <w:r>
        <w:rPr>
          <w:rFonts w:ascii="SimSun" w:hAnsi="SimSun" w:eastAsia="SimSun" w:cs="SimSun"/>
          <w:color w:val="000000"/>
          <w:sz w:val="24"/>
          <w:u w:val="none"/>
        </w:rPr>
        <w:t xml:space="preserve">“</w:t>
      </w:r>
      <w:r>
        <w:rPr>
          <w:rFonts w:ascii="SimSun" w:hAnsi="SimSun" w:eastAsia="SimSun" w:cs="SimSun"/>
          <w:color w:val="000000"/>
          <w:sz w:val="24"/>
        </w:rPr>
        <w:t xml:space="preserve">苏采云</w:t>
      </w:r>
      <w:r>
        <w:rPr>
          <w:rFonts w:ascii="SimSun" w:hAnsi="SimSun" w:eastAsia="SimSun" w:cs="SimSun"/>
          <w:color w:val="000000"/>
          <w:sz w:val="24"/>
          <w:u w:val="none"/>
        </w:rPr>
        <w:t xml:space="preserve">”</w:t>
      </w:r>
      <w:r>
        <w:rPr>
          <w:rFonts w:ascii="SimSun" w:hAnsi="SimSun" w:eastAsia="SimSun" w:cs="SimSun"/>
          <w:color w:val="000000"/>
          <w:sz w:val="24"/>
        </w:rPr>
        <w:t xml:space="preserve">系统（网址：</w:t>
      </w:r>
      <w:r>
        <w:rPr>
          <w:rFonts w:ascii="SimSun" w:hAnsi="SimSun" w:eastAsia="SimSun" w:cs="SimSun"/>
          <w:color w:val="000000"/>
          <w:sz w:val="24"/>
          <w:u w:val="none"/>
        </w:rPr>
        <w:t xml:space="preserve">http://jszfcg.jsczt.cn/</w:t>
      </w:r>
      <w:r>
        <w:rPr>
          <w:rFonts w:ascii="SimSun" w:hAnsi="SimSun" w:eastAsia="SimSun" w:cs="SimSun"/>
          <w:color w:val="000000"/>
          <w:sz w:val="24"/>
        </w:rPr>
        <w:t xml:space="preserve">）或宿迁市政府采购网点击</w:t>
      </w:r>
      <w:r>
        <w:rPr>
          <w:rFonts w:ascii="SimSun" w:hAnsi="SimSun" w:eastAsia="SimSun" w:cs="SimSun"/>
          <w:color w:val="000000"/>
          <w:sz w:val="24"/>
          <w:u w:val="none"/>
        </w:rPr>
        <w:t xml:space="preserve">“</w:t>
      </w:r>
      <w:r>
        <w:rPr>
          <w:rFonts w:ascii="SimSun" w:hAnsi="SimSun" w:eastAsia="SimSun" w:cs="SimSun"/>
          <w:color w:val="000000"/>
          <w:sz w:val="24"/>
        </w:rPr>
        <w:t xml:space="preserve">政府采购管理交易系统（苏采云）</w:t>
      </w:r>
      <w:r>
        <w:rPr>
          <w:rFonts w:ascii="SimSun" w:hAnsi="SimSun" w:eastAsia="SimSun" w:cs="SimSun"/>
          <w:color w:val="000000"/>
          <w:sz w:val="24"/>
          <w:u w:val="none"/>
        </w:rPr>
        <w:t xml:space="preserve">”</w:t>
      </w:r>
      <w:r>
        <w:rPr>
          <w:rFonts w:ascii="SimSun" w:hAnsi="SimSun" w:eastAsia="SimSun" w:cs="SimSun"/>
          <w:color w:val="000000"/>
          <w:sz w:val="24"/>
        </w:rPr>
        <w:t xml:space="preserve">，使用</w:t>
      </w:r>
      <w:r>
        <w:rPr>
          <w:rFonts w:ascii="SimSun" w:hAnsi="SimSun" w:eastAsia="SimSun" w:cs="SimSun"/>
          <w:color w:val="000000"/>
          <w:sz w:val="24"/>
          <w:u w:val="none"/>
        </w:rPr>
        <w:t xml:space="preserve">CA</w:t>
      </w:r>
      <w:r>
        <w:rPr>
          <w:rFonts w:ascii="SimSun" w:hAnsi="SimSun" w:eastAsia="SimSun" w:cs="SimSun"/>
          <w:color w:val="000000"/>
          <w:sz w:val="24"/>
        </w:rPr>
        <w:t xml:space="preserve">锁进入系统从</w:t>
      </w:r>
      <w:r>
        <w:rPr>
          <w:rFonts w:ascii="SimSun" w:hAnsi="SimSun" w:eastAsia="SimSun" w:cs="SimSun"/>
          <w:color w:val="000000"/>
          <w:sz w:val="24"/>
          <w:u w:val="none"/>
        </w:rPr>
        <w:t xml:space="preserve">“</w:t>
      </w:r>
      <w:r>
        <w:rPr>
          <w:rFonts w:ascii="SimSun" w:hAnsi="SimSun" w:eastAsia="SimSun" w:cs="SimSun"/>
          <w:color w:val="000000"/>
          <w:sz w:val="24"/>
        </w:rPr>
        <w:t xml:space="preserve">项目参与</w:t>
      </w:r>
      <w:r>
        <w:rPr>
          <w:rFonts w:ascii="SimSun" w:hAnsi="SimSun" w:eastAsia="SimSun" w:cs="SimSun"/>
          <w:color w:val="000000"/>
          <w:sz w:val="24"/>
          <w:u w:val="none"/>
        </w:rPr>
        <w:t xml:space="preserve">”--“</w:t>
      </w:r>
      <w:r>
        <w:rPr>
          <w:rFonts w:ascii="SimSun" w:hAnsi="SimSun" w:eastAsia="SimSun" w:cs="SimSun"/>
          <w:color w:val="000000"/>
          <w:sz w:val="24"/>
        </w:rPr>
        <w:t xml:space="preserve">采购项目</w:t>
      </w:r>
      <w:r>
        <w:rPr>
          <w:rFonts w:ascii="SimSun" w:hAnsi="SimSun" w:eastAsia="SimSun" w:cs="SimSun"/>
          <w:color w:val="000000"/>
          <w:sz w:val="24"/>
          <w:u w:val="none"/>
        </w:rPr>
        <w:t xml:space="preserve">”</w:t>
      </w:r>
      <w:r>
        <w:rPr>
          <w:rFonts w:ascii="SimSun" w:hAnsi="SimSun" w:eastAsia="SimSun" w:cs="SimSun"/>
          <w:color w:val="000000"/>
          <w:sz w:val="24"/>
        </w:rPr>
        <w:t xml:space="preserve">菜单中，找到本项目获取采购文件（后缀名为“</w:t>
      </w:r>
      <w:r>
        <w:rPr>
          <w:rFonts w:ascii="SimSun" w:hAnsi="SimSun" w:eastAsia="SimSun" w:cs="SimSun"/>
          <w:color w:val="000000"/>
          <w:sz w:val="24"/>
          <w:u w:val="none"/>
        </w:rPr>
        <w:t xml:space="preserve">kedt”</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w:t>
      </w:r>
      <w:r>
        <w:rPr>
          <w:rFonts w:ascii="SimSun" w:hAnsi="SimSun" w:eastAsia="SimSun" w:cs="SimSun"/>
          <w:color w:val="000000"/>
          <w:sz w:val="24"/>
        </w:rPr>
        <w:t xml:space="preserve">本项目共分一个包。投标人参与多个包投标的，应按包分别获取招标文件。投标人未按要求获取招标文件导致无法投标的，后果自负（其投标文件不予接受）。</w:t>
      </w:r>
      <w:r/>
    </w:p>
    <w:p>
      <w:pPr>
        <w:pStyle w:val="68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2026年6月29日9点30分</w:t>
      </w:r>
      <w:r>
        <w:rPr>
          <w:rFonts w:ascii="SimSun" w:hAnsi="SimSun" w:eastAsia="SimSun" w:cs="SimSun"/>
          <w:color w:val="000000"/>
          <w:sz w:val="24"/>
        </w:rPr>
        <w:t xml:space="preserve">（北京时间）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pStyle w:val="68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招标公告及招标文件公告期限为自本公告发布之日起5个工作日。招标公告发布媒体：宿迁市政府采购网、江苏省财政部门指定的媒体。</w:t>
      </w:r>
      <w:r/>
    </w:p>
    <w:p>
      <w:pPr>
        <w:pStyle w:val="68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1.财政部门监督电话：0527-84363063。</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2.“CA”数字证书办理：“苏采云”系统目前仅支持“苏采云”系统下的意源CA。省内各地区办理的“苏采云”系统下的意源CA全省通用。宿迁地区CA数字证书办理联系方式：18351098172。</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3.宿迁地区“苏采云”技术支持客服电话：0527-84225125、0519-86722806。</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4.如果投标人通过苏采云系统参与政府采购项目，相关操作手册详见链接：</w:t>
      </w:r>
      <w:r>
        <w:rPr>
          <w:rFonts w:ascii="SimSun" w:hAnsi="SimSun" w:eastAsia="SimSun" w:cs="SimSun"/>
          <w:color w:val="000000"/>
          <w:spacing w:val="-6"/>
          <w:sz w:val="24"/>
        </w:rPr>
        <w:t xml:space="preserve">http://www.ccgp-jiangsu.gov.cn/jiangsu/zlxz/ee/ee3a4bc5a3454aa2b0d9312230633ce9.html。</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5.现场勘察及答疑：本项目不组织集中勘察及答疑，投标人如对采购需求有疑问，请咨询采购单位联系人。 </w:t>
      </w:r>
      <w:r/>
    </w:p>
    <w:p>
      <w:pPr>
        <w:pStyle w:val="68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477"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宿迁市住房和城乡建设局</w:t>
      </w:r>
      <w:r/>
    </w:p>
    <w:p>
      <w:pPr>
        <w:ind w:left="477"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宿迁市宿城区洪泽湖路793号建设大厦</w:t>
      </w:r>
      <w:r/>
    </w:p>
    <w:p>
      <w:pPr>
        <w:ind w:left="477"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刘奕</w:t>
      </w:r>
      <w:r/>
    </w:p>
    <w:p>
      <w:pPr>
        <w:ind w:left="477"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0527-84387662</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477"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建银工程咨询有限责任公司</w:t>
      </w:r>
      <w:r/>
    </w:p>
    <w:p>
      <w:pPr>
        <w:ind w:left="477"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宿迁市宿城区黄河路28号（建行院内东附属楼三楼）</w:t>
      </w:r>
      <w:r/>
    </w:p>
    <w:p>
      <w:pPr>
        <w:ind w:left="477"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杜萍</w:t>
      </w:r>
      <w:r/>
    </w:p>
    <w:p>
      <w:pPr>
        <w:ind w:left="477"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0527-84357101、13732685015</w:t>
      </w:r>
      <w:r/>
    </w:p>
    <w:p>
      <w:pPr>
        <w:pStyle w:val="68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1、有关本次招标的事项若存在变动或修改，敬请及时关注“宿迁市政府采购网”等平台更正公告。</w:t>
      </w:r>
      <w:r/>
    </w:p>
    <w:p>
      <w:pPr>
        <w:ind w:left="0" w:right="0" w:firstLine="482"/>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color w:val="000000"/>
          <w:sz w:val="24"/>
        </w:rPr>
        <w:t xml:space="preserve">.本次招标不收取投标保证金。</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86"/>
        <w:ind w:left="0" w:right="0" w:firstLine="2429"/>
        <w:jc w:val="both"/>
        <w:spacing w:before="260" w:after="26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第二章</w:t>
      </w:r>
      <w:r>
        <w:rPr>
          <w:rFonts w:ascii="SimSun" w:hAnsi="SimSun" w:eastAsia="SimSun" w:cs="SimSun"/>
          <w:b/>
          <w:color w:val="000000"/>
          <w:sz w:val="44"/>
        </w:rPr>
        <w:t xml:space="preserve">  投标人须知</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8"/>
        <w:gridCol w:w="1772"/>
        <w:gridCol w:w="6579"/>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种确定：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1.货物采购；</w:t>
            </w:r>
            <w:r>
              <w:rPr>
                <w:rFonts w:ascii="SimSun" w:hAnsi="SimSun" w:eastAsia="SimSun" w:cs="SimSun"/>
                <w:color w:val="000000"/>
                <w:sz w:val="24"/>
                <w:u w:val="none"/>
              </w:rPr>
              <w:t xml:space="preserve">2.</w:t>
            </w:r>
            <w:r>
              <w:rPr>
                <w:rFonts w:ascii="SimSun" w:hAnsi="SimSun" w:eastAsia="SimSun" w:cs="SimSun"/>
                <w:color w:val="000000"/>
                <w:sz w:val="24"/>
              </w:rPr>
              <w:t xml:space="preserve">服务采购；</w:t>
            </w:r>
            <w:r>
              <w:rPr>
                <w:rFonts w:ascii="SimSun" w:hAnsi="SimSun" w:eastAsia="SimSun" w:cs="SimSun"/>
                <w:color w:val="000000"/>
                <w:sz w:val="24"/>
                <w:u w:val="none"/>
              </w:rPr>
              <w:t xml:space="preserve">3.</w:t>
            </w:r>
            <w:r>
              <w:rPr>
                <w:rFonts w:ascii="SimSun" w:hAnsi="SimSun" w:eastAsia="SimSun" w:cs="SimSun"/>
                <w:color w:val="000000"/>
                <w:sz w:val="24"/>
              </w:rPr>
              <w:t xml:space="preserve">工程采购。</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90</w:t>
            </w:r>
            <w:r>
              <w:rPr>
                <w:rFonts w:ascii="SimSun" w:hAnsi="SimSun" w:eastAsia="SimSun" w:cs="SimSun"/>
                <w:color w:val="000000"/>
                <w:sz w:val="24"/>
              </w:rPr>
              <w:t xml:space="preserve">日（从提交投标文件截止之日起算）</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w:t>
            </w:r>
            <w:r>
              <w:rPr>
                <w:rFonts w:ascii="SimSun" w:hAnsi="SimSun" w:eastAsia="SimSun" w:cs="SimSun"/>
                <w:color w:val="000000"/>
                <w:sz w:val="24"/>
                <w:u w:val="single"/>
              </w:rPr>
              <w:t xml:space="preserve">1</w:t>
            </w:r>
            <w:r>
              <w:rPr>
                <w:rFonts w:ascii="SimSun" w:hAnsi="SimSun" w:eastAsia="SimSun" w:cs="SimSun"/>
                <w:color w:val="000000"/>
                <w:sz w:val="24"/>
              </w:rPr>
              <w:t xml:space="preserve">份。</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种方式确定：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1.接受进口产品。应当符合《政府采购进口产品管理办法》（财库〔2007〕119号）、《关于政府采购进口产品管理有关问题的通知》（财办库〔2008〕248号）等相关规定；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2.不接受进口产品。</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具体评标办法详见招标文件第三章。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评标委员会依据招标文件规定的评标办法和标准推荐</w:t>
            </w:r>
            <w:r>
              <w:rPr>
                <w:rFonts w:ascii="SimSun" w:hAnsi="SimSun" w:eastAsia="SimSun" w:cs="SimSun"/>
                <w:color w:val="000000"/>
                <w:sz w:val="24"/>
                <w:u w:val="single"/>
              </w:rPr>
              <w:t xml:space="preserve">3</w:t>
            </w:r>
            <w:r>
              <w:rPr>
                <w:rFonts w:ascii="SimSun" w:hAnsi="SimSun" w:eastAsia="SimSun" w:cs="SimSun"/>
                <w:color w:val="000000"/>
                <w:sz w:val="24"/>
              </w:rPr>
              <w:t xml:space="preserve">名中标候选人。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采购人按规定在评标委员会推荐的中标候选人中确定中标人。</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本项目的非主体、非关键性工作是否允许分包</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种方式确定：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1.允许分包，允许大中型企业向一家或者多家小微企业分包，分包具体内容、金额或比例：无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2.不允许分包。</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依据宿代建办发〔</w:t>
            </w:r>
            <w:r>
              <w:rPr>
                <w:rFonts w:ascii="SimSun" w:hAnsi="SimSun" w:eastAsia="SimSun" w:cs="SimSun"/>
                <w:color w:val="000000"/>
                <w:sz w:val="24"/>
              </w:rPr>
              <w:t xml:space="preserve">2022</w:t>
            </w:r>
            <w:r>
              <w:rPr>
                <w:rFonts w:ascii="SimSun" w:hAnsi="SimSun" w:eastAsia="SimSun" w:cs="SimSun"/>
                <w:color w:val="000000"/>
                <w:sz w:val="24"/>
                <w:u w:val="none"/>
              </w:rPr>
              <w:t xml:space="preserve">〕</w:t>
            </w:r>
            <w:r>
              <w:rPr>
                <w:rFonts w:ascii="SimSun" w:hAnsi="SimSun" w:eastAsia="SimSun" w:cs="SimSun"/>
                <w:color w:val="000000"/>
                <w:sz w:val="24"/>
              </w:rPr>
              <w:t xml:space="preserve">4</w:t>
            </w:r>
            <w:r>
              <w:rPr>
                <w:rFonts w:ascii="SimSun" w:hAnsi="SimSun" w:eastAsia="SimSun" w:cs="SimSun"/>
                <w:color w:val="000000"/>
                <w:sz w:val="24"/>
                <w:u w:val="none"/>
              </w:rPr>
              <w:t xml:space="preserve">号文件服务类项目支付代理费。 </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信用信息查询截止时间：资格审查结束前。由采购人在资格审查现场查询信用信息，网页截屏打印，查询结果留存并归档。</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88"/>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2.1满足招标公告中投标人的资格要求的规定。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4、投标费用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w:t>
      </w:r>
      <w:r>
        <w:rPr>
          <w:rFonts w:ascii="SimSun" w:hAnsi="SimSun" w:eastAsia="SimSun" w:cs="SimSun"/>
          <w:color w:val="000000"/>
          <w:sz w:val="24"/>
          <w:u w:val="single"/>
        </w:rPr>
        <w:t xml:space="preserve">建银工程咨询有限责任公司</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4.2代理费用收取方式及标准：按以下第</w:t>
      </w:r>
      <w:r>
        <w:rPr>
          <w:rFonts w:ascii="SimSun" w:hAnsi="SimSun" w:eastAsia="SimSun" w:cs="SimSun"/>
          <w:color w:val="000000"/>
          <w:sz w:val="24"/>
          <w:u w:val="single"/>
        </w:rPr>
        <w:t xml:space="preserve">4.2.2</w:t>
      </w:r>
      <w:r>
        <w:rPr>
          <w:rFonts w:ascii="SimSun" w:hAnsi="SimSun" w:eastAsia="SimSun" w:cs="SimSun"/>
          <w:color w:val="000000"/>
          <w:sz w:val="24"/>
        </w:rPr>
        <w:t xml:space="preserve">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4.2.1无需支付；</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4.2.2采购人支付，具体方式及标准为：</w:t>
      </w:r>
      <w:r>
        <w:rPr>
          <w:rFonts w:ascii="SimSun" w:hAnsi="SimSun" w:eastAsia="SimSun" w:cs="SimSun"/>
          <w:color w:val="000000"/>
          <w:sz w:val="24"/>
          <w:u w:val="single"/>
        </w:rPr>
        <w:t xml:space="preserve">依据宿代建办发〔2022〕4号文件服务类项目支付代理费。</w:t>
      </w:r>
      <w:r>
        <w:rPr>
          <w:rFonts w:ascii="SimSun" w:hAnsi="SimSun" w:eastAsia="SimSun" w:cs="SimSun"/>
          <w:color w:val="000000"/>
          <w:sz w:val="24"/>
        </w:rPr>
        <w:t xml:space="preserve"> </w:t>
      </w:r>
      <w:r/>
    </w:p>
    <w:p>
      <w:pPr>
        <w:pStyle w:val="690"/>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Sun" w:hAnsi="SimSun" w:eastAsia="SimSun" w:cs="SimSun"/>
          <w:color w:val="000000"/>
          <w:sz w:val="28"/>
        </w:rPr>
        <w:t xml:space="preserve">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88"/>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6、招标文件构成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7、招标文件的澄清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69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8、招标文件的修改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在投标截止时间前，采购代理机构可以对招标文件进行修改。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8.4招标文件的修改将在原公告媒体上发布更正公告，补充文件将作为招标文件的组成部分，并对投标人具有约束力。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8.5投标人应及时登录“苏采云”系统获取澄清答疑文件（修改后招标文件），如因投标人原因未能及时下载澄清和修改后的招标文件，由此造成的相关责任，由投标人承担。 </w:t>
      </w:r>
      <w:r/>
    </w:p>
    <w:p>
      <w:pPr>
        <w:pStyle w:val="688"/>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9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10、投标文件构成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投标人编写的投标文件应包括资格证明文件、符合性证明文件、投标分项报价表、响应及偏离表、其他证明文件、投标函、开标一览表等部分。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如标书制作工具中格式和内容与“宿迁市政府采购网”发布的招标文件不一致，请以“宿迁市政府采购网”发布的招标文件为准。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10.6中标后按相关要求提供与电子投标文件一致的纸质打印投标文件2份。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注：（</w:t>
      </w:r>
      <w:r>
        <w:rPr>
          <w:rFonts w:ascii="SimSun" w:hAnsi="SimSun" w:eastAsia="SimSun" w:cs="SimSun"/>
          <w:color w:val="000000"/>
          <w:sz w:val="24"/>
        </w:rPr>
        <w:t xml:space="preserve">1</w:t>
      </w:r>
      <w:r>
        <w:rPr>
          <w:rFonts w:ascii="SimSun" w:hAnsi="SimSun" w:eastAsia="SimSun" w:cs="SimSun"/>
          <w:color w:val="000000"/>
          <w:sz w:val="24"/>
          <w:u w:val="none"/>
        </w:rPr>
        <w:t xml:space="preserve">）投标文件构成资料为非中文时应提供中文译版；（</w:t>
      </w:r>
      <w:r>
        <w:rPr>
          <w:rFonts w:ascii="SimSun" w:hAnsi="SimSun" w:eastAsia="SimSun" w:cs="SimSun"/>
          <w:color w:val="000000"/>
          <w:sz w:val="24"/>
        </w:rPr>
        <w:t xml:space="preserve">2</w:t>
      </w:r>
      <w:r>
        <w:rPr>
          <w:rFonts w:ascii="SimSun" w:hAnsi="SimSun" w:eastAsia="SimSun" w:cs="SimSun"/>
          <w:color w:val="000000"/>
          <w:sz w:val="24"/>
          <w:u w:val="none"/>
        </w:rPr>
        <w:t xml:space="preserve">）招标文件要求提供证书证件等原件电子件的，投标人提供的电子件应是对证书证件等原件通过扫描、拍照等方式进行数字化的可被</w:t>
      </w:r>
      <w:r>
        <w:rPr>
          <w:rFonts w:ascii="SimSun" w:hAnsi="SimSun" w:eastAsia="SimSun" w:cs="SimSun"/>
          <w:color w:val="000000"/>
          <w:sz w:val="24"/>
        </w:rPr>
        <w:t xml:space="preserve">“</w:t>
      </w:r>
      <w:r>
        <w:rPr>
          <w:rFonts w:ascii="SimSun" w:hAnsi="SimSun" w:eastAsia="SimSun" w:cs="SimSun"/>
          <w:color w:val="000000"/>
          <w:sz w:val="24"/>
          <w:u w:val="none"/>
        </w:rPr>
        <w:t xml:space="preserve">苏采云</w:t>
      </w:r>
      <w:r>
        <w:rPr>
          <w:rFonts w:ascii="SimSun" w:hAnsi="SimSun" w:eastAsia="SimSun" w:cs="SimSun"/>
          <w:color w:val="000000"/>
          <w:sz w:val="24"/>
        </w:rPr>
        <w:t xml:space="preserve">”</w:t>
      </w:r>
      <w:r>
        <w:rPr>
          <w:rFonts w:ascii="SimSun" w:hAnsi="SimSun" w:eastAsia="SimSun" w:cs="SimSun"/>
          <w:color w:val="000000"/>
          <w:sz w:val="24"/>
          <w:u w:val="none"/>
        </w:rPr>
        <w:t xml:space="preserve">系统识别的数字文件，否则评委会可以视其未提供。（</w:t>
      </w:r>
      <w:r>
        <w:rPr>
          <w:rFonts w:ascii="SimSun" w:hAnsi="SimSun" w:eastAsia="SimSun" w:cs="SimSun"/>
          <w:color w:val="000000"/>
          <w:sz w:val="24"/>
        </w:rPr>
        <w:t xml:space="preserve">3</w:t>
      </w:r>
      <w:r>
        <w:rPr>
          <w:rFonts w:ascii="SimSun" w:hAnsi="SimSun" w:eastAsia="SimSun" w:cs="SimSun"/>
          <w:color w:val="000000"/>
          <w:sz w:val="24"/>
          <w:u w:val="none"/>
        </w:rPr>
        <w:t xml:space="preserve">）无论何种原因，即使投标人开标时携带了证书证明资料的原件，但电子投标文件中未包含相关资料电子件的，评委会可以视同其未提供。</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11、证明投标人及投标标的符合招标文件规定的文件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本项目不接受备选的投标方案或有选择的报价，只允许有一个报价。投标报价内容包括：本项目服务过程中所发生的一切费用，包括但不限于方案编制、规划设计费、材料搜集费、规划审查费、规划成果修改完善费、技术培训等和人员工资及福利、驻场人员产生的其他相关费用（如食宿、交通燃油等）、机械设备、法定税费、合理利润、管理、培训、风险、会办会费、专家成果评审费、成果打印费、为完成招标文件规定的技术支撑服务工作的费用等完成本项目所涉及的一切相关费用。</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55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14、投标声明及承诺函和开标一览表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投标有效期为开标之日后</w:t>
      </w:r>
      <w:r>
        <w:rPr>
          <w:rFonts w:ascii="SimSun" w:hAnsi="SimSun" w:eastAsia="SimSun" w:cs="SimSun"/>
          <w:b/>
          <w:color w:val="000000"/>
          <w:sz w:val="24"/>
          <w:u w:val="single"/>
        </w:rPr>
        <w:t xml:space="preserve">90天</w:t>
      </w:r>
      <w:r>
        <w:rPr>
          <w:rFonts w:ascii="SimSun" w:hAnsi="SimSun" w:eastAsia="SimSun" w:cs="SimSun"/>
          <w:color w:val="000000"/>
          <w:sz w:val="24"/>
        </w:rPr>
        <w:t xml:space="preserve">。投标有效期比规定短的将被视为未实质性响应招标文件而予以拒绝。</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16.2中标人的投标文件作为项目服务合同的附件，其有效期至中标人全部合同义务履行完毕为止。 </w:t>
      </w:r>
      <w:r/>
    </w:p>
    <w:p>
      <w:pPr>
        <w:pStyle w:val="688"/>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90"/>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17、投标文件的递交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17.1投标人应当按照《操作手册》规定，在投标截止时间前制作并上传电子投标文件。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17.2投标人通过“苏采云”系统不见面开标大厅在线参与开标活动。（具体操作详见《“苏采云”系统投标人操作手册》，网址链接</w:t>
      </w:r>
      <w:r>
        <w:rPr>
          <w:rFonts w:ascii="SimSun" w:hAnsi="SimSun" w:eastAsia="SimSun" w:cs="SimSun"/>
          <w:color w:val="000000"/>
          <w:sz w:val="22"/>
        </w:rPr>
        <w:t xml:space="preserve">http://www.ccgp-jiangsu.gov.cn//webfile/jiangsu/202311/1699268553318052447.pdf）</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投标人上传电子投标文件的时间不得迟于招标公告中规定的投标截止时间。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采购代理机构可以按照规定，通过修改招标文件酌情延长投标截止时间，在此情况下，投标人的所有权利和义务以及投标人受制的截止时间均应以延长后新的截止时间为准。</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19、投标文件的拒收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19.1采购代理机构拒绝接收在其规定的投标截止时间后上传的任何投标文件。</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88"/>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21、开标</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采购代理机构将在招标公告中规定的时间和地点组织公开开标。投标人应当按照《“苏采云”系统供应商操作手册》规定，参加开标活动和在“苏采云”系统规定的时间内对投标文件进行解密。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22、评委会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22.1开标后，采购代理机构将立即组织评委会（以下简称评委会）进行评标。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22.3评委会独立工作，负责评审所有投标文件并确定中标候选人。</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采购代理机构和评委会不向未中标的投标人解释未中标原因，也不公布评标过程中的相关细节。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25.3如果投标文件实质上没有响应招标文件的要求，评委会将予以拒绝，投标人不得通过修改或撤销不符合要求的偏离或保留而使其投标成为实质性响应的投标。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25.6投标人在开、评标全过程中应随时保持系统在线，及时在“苏采云”系统查阅、答复相关信息。</w:t>
      </w:r>
      <w:r/>
    </w:p>
    <w:p>
      <w:pPr>
        <w:pStyle w:val="690"/>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26、无效投标条款和废标条款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rPr>
          <w:rFonts w:ascii="SimSun" w:hAnsi="SimSun" w:eastAsia="SimSun" w:cs="SimSun"/>
          <w:i/>
          <w:color w:val="000000"/>
          <w:sz w:val="24"/>
          <w:u w:val="single"/>
        </w:rPr>
        <w:t xml:space="preserve">加斜体下划线内容或打“★”内容为实质性要求和条件）。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26.1.10异常低价投标审查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26.1.10.1 评标过程中出现下列情形之一的，评标委员会应当启动异常低价投标审查程序：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（1）投标报价低于全部通过符合性审查供应商投标报价平均值50%的，即投标报价&lt;全部通过符合性审查供应商投标报价平均值×50%；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（2）投标报价低于通过符合性审查的次低报价供应商投标报价50%的，即投标报价&lt;通过符合性审查的次低报价供应商投标报价×50%；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（3）投标报价低于采购项目最高限价45%的，即投标报价&lt;采购项目最高限价×45%；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（4）评标委员会基于专业判断，认为供应商报价过低，有可能影响产品质量或者不能诚信履约的其他情形。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投标文件未按照招标文件要求加盖CA电子公章的。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26.1.13其他法律、法规及本招标文件规定的属无效投标的情形。</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26.2.1符合专业条件的投标人或者对招标文件作实质响应的投标人不足三家的。26.2.2出现影响采购公正的违法、违规行为的。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26.2.4评委会认定招标文件存在歧义、重大缺陷导致评审工作无法进行。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因“苏采云”系统故障原因造成开标不成功的。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26.3.1如出现投标截止时间结束后参加投标的投标人或者在评标期间对招标文件做出实质响应的投标人不足三家情况，按政府采购相关规定执行。</w:t>
      </w:r>
      <w:r/>
    </w:p>
    <w:p>
      <w:pPr>
        <w:pStyle w:val="688"/>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w:t>
      </w:r>
      <w:r>
        <w:rPr>
          <w:rFonts w:ascii="SimSun" w:hAnsi="SimSun" w:eastAsia="SimSun" w:cs="SimSun"/>
          <w:b/>
          <w:color w:val="000000"/>
          <w:sz w:val="32"/>
        </w:rPr>
        <w:t xml:space="preserve">定标</w:t>
      </w:r>
      <w:r/>
    </w:p>
    <w:p>
      <w:pPr>
        <w:pStyle w:val="690"/>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27、确定中标单位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按以下第</w:t>
      </w:r>
      <w:r>
        <w:rPr>
          <w:rFonts w:ascii="SimSun" w:hAnsi="SimSun" w:eastAsia="SimSun" w:cs="SimSun"/>
          <w:color w:val="000000"/>
          <w:sz w:val="24"/>
          <w:u w:val="single"/>
        </w:rPr>
        <w:t xml:space="preserve">（1）</w:t>
      </w:r>
      <w:r>
        <w:rPr>
          <w:rFonts w:ascii="SimSun" w:hAnsi="SimSun" w:eastAsia="SimSun" w:cs="SimSun"/>
          <w:color w:val="000000"/>
          <w:sz w:val="24"/>
        </w:rPr>
        <w:t xml:space="preserve">种方式确定中标人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采购代理机构将在“宿迁市政府采购网”发布中标公告，公告期限为1个工作日。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27.5</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90"/>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28、质疑处理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提出质疑的投标人应当是参与所质疑项目采购活动的投标人。潜在投标人依法获取其可质疑的采购文件的，可以对采购文件提出质疑。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投标人应以书面形式向采购人或者其委托的采购代理机构提出质疑。质疑超出采购机构代理范围的，投标人应当向采购人提出。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 </w:t>
      </w:r>
      <w:r>
        <w:rPr>
          <w:rFonts w:ascii="SimSun" w:hAnsi="SimSun" w:eastAsia="SimSun" w:cs="SimSun"/>
          <w:color w:val="000000"/>
          <w:sz w:val="24"/>
          <w:u w:val="single"/>
        </w:rPr>
        <w:t xml:space="preserve">建银工程咨询有限责任公司-杜萍或宿迁市住房和城乡建设局-刘奕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rPr>
          <w:rFonts w:ascii="SimSun" w:hAnsi="SimSun" w:eastAsia="SimSun" w:cs="SimSun"/>
          <w:color w:val="000000"/>
          <w:sz w:val="24"/>
          <w:u w:val="single"/>
        </w:rPr>
        <w:t xml:space="preserve">0527-84357101、13732685015或0527-84387662</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宿迁市宿城区黄河路28号（建行院内东附属楼三楼）或 宿迁市宿城区洪泽湖路793号建设大厦</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28.5.5投标人组成联合体参加投标，联合体中任何一方或多方未按要求签字、盖章、加盖公章的质疑。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28.7质疑投标人对采购人、采购代理机构的答复不满意，或者采购人、采购代理机构未在规定时间内作出答复的，可以在答复期满后15个工作日内向同级财政部门提起投诉。</w:t>
      </w:r>
      <w:r/>
    </w:p>
    <w:p>
      <w:pPr>
        <w:pStyle w:val="690"/>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29、中标通知书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代理机构将向中标人发出中标通知书。请中标人使用CA数字证书登录“苏采云系统”及时下载中标通知书。中标人可自行下载打印《中标通知书》，《中标通知书》将作为授予合同资格的唯一合法依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88"/>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90"/>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 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30日内，按照招标文件确定的事项与采购人签订政府采购合同。并在签订之日起2个工作日内将政府采购合同在指定的媒体上公告，但政府采购合同中涉及国家秘密、商业秘密的内容除外。</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30.4本项目的非主体、非关键性工作是否允许分包按以下第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种方式确定：</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1.允许分包，允许大中型企业向一家或者多家小微企业分包，分包具体内容、金额或比例：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2.不允许分包。未经采购人同意，中标人也不得采用分包形式履行合同，否则采购人有权终止合同。转包或分包造成采购人损失的，中标人应承担相应赔偿责任。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1  </w:t>
      </w:r>
      <w:r>
        <w:rPr>
          <w:rFonts w:ascii="SimSun" w:hAnsi="SimSun" w:eastAsia="SimSun" w:cs="SimSun"/>
          <w:color w:val="000000"/>
          <w:sz w:val="24"/>
        </w:rPr>
        <w:t xml:space="preserve">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（2）履约保证金应在采购合同签订前提交，履约保证金的金额：</w:t>
      </w:r>
      <w:r>
        <w:rPr>
          <w:rFonts w:ascii="SimSun" w:hAnsi="SimSun" w:eastAsia="SimSun" w:cs="SimSun"/>
          <w:color w:val="000000"/>
          <w:sz w:val="24"/>
          <w:u w:val="single"/>
        </w:rPr>
        <w:t xml:space="preserve">  /   ，</w:t>
      </w:r>
      <w:r>
        <w:rPr>
          <w:rFonts w:ascii="SimSun" w:hAnsi="SimSun" w:eastAsia="SimSun" w:cs="SimSun"/>
          <w:color w:val="000000"/>
          <w:sz w:val="24"/>
        </w:rPr>
        <w:t xml:space="preserve">按采购合同总价的</w:t>
      </w:r>
      <w:r>
        <w:rPr>
          <w:rFonts w:ascii="SimSun" w:hAnsi="SimSun" w:eastAsia="SimSun" w:cs="SimSun"/>
          <w:color w:val="000000"/>
          <w:sz w:val="24"/>
          <w:u w:val="single"/>
        </w:rPr>
        <w:t xml:space="preserve"> / </w:t>
      </w:r>
      <w:r>
        <w:rPr>
          <w:rFonts w:ascii="SimSun" w:hAnsi="SimSun" w:eastAsia="SimSun" w:cs="SimSun"/>
          <w:color w:val="000000"/>
          <w:sz w:val="24"/>
        </w:rPr>
        <w:t xml:space="preserve">%计取。除银行电汇、网上银行、数字人民币外，投标人还可选用银行保函、担保公司的保证担保或保险公司的保证保险等多种形式向采购人缴纳；</w:t>
      </w:r>
      <w:r/>
    </w:p>
    <w:p>
      <w:pPr>
        <w:pStyle w:val="690"/>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31、服务（包含与服务相关的货物）的追加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90"/>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32、政府采购履约资金扶持政策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32.1根据江苏省财政厅 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90"/>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严格按照采购合同开展履约验收。采购人成立验收小组，按照采购合同的约定对中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验收合格的项目，采购人将根据采购合同的约定及时支付采购资金、退还履约保证金。验收不合格的项目，采购人将依法及时处理。采购合同的履行、违约责任和解决争议的方式等适用《中华人民共和国民法典》。中标人在履约过程中有政府采购法律法规规定的违法违规情形的，采购人应当及时报告本级财政部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注：本条（第33条）内容与合同不一致的，按合同约定执行。</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按照以下确定的付款方式，采购人及时办理付款手续。对于满足合同约定支付条件的，自收到发票后10个工作日内将资金支付到合同约定的中标人账户或中标人数字人民币账户。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费用按照中标文件的“投标报价明细表”，划分为历史文化名城、新盛街历史文化街区、宿迁机床厂历史文化街区3个子项独立进行支付。合同签订后，支付至对应子项合同价款的20%作为预付款；名城/街区保护规划通过省级部门审查后，支付至对应子项合同价款的80%；获得省政府/市政府批复后，结清该子项剩余尾款。</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pStyle w:val="684"/>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pStyle w:val="68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  合同文本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规划编制技术合同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155" w:right="0" w:hanging="165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rPr>
          <w:rFonts w:ascii="SimSun" w:hAnsi="SimSun" w:eastAsia="SimSun" w:cs="SimSun"/>
          <w:b/>
          <w:color w:val="000000"/>
          <w:sz w:val="32"/>
          <w:u w:val="single"/>
        </w:rPr>
        <w:t xml:space="preserve">宿迁市历史文化名城、历史文化街区保护规划</w:t>
      </w:r>
      <w:r/>
    </w:p>
    <w:p>
      <w:pPr>
        <w:ind w:left="2139" w:right="0" w:hanging="3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single"/>
        </w:rPr>
        <w:t xml:space="preserve">编制项目</w:t>
      </w:r>
      <w:r>
        <w:rPr>
          <w:rFonts w:ascii="SimSun" w:hAnsi="SimSun" w:eastAsia="SimSun" w:cs="SimSun"/>
          <w:color w:val="000000"/>
          <w:sz w:val="32"/>
          <w:u w:val="single"/>
        </w:rPr>
        <w:t xml:space="preserve">     </w:t>
      </w:r>
      <w:r/>
    </w:p>
    <w:p>
      <w:pPr>
        <w:ind w:left="2180" w:right="0" w:hanging="16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2180" w:right="0" w:hanging="1661"/>
        <w:spacing w:before="0" w:after="0"/>
        <w:tabs>
          <w:tab w:val="left" w:pos="8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委托方（甲方）：</w:t>
      </w:r>
      <w:r>
        <w:rPr>
          <w:rFonts w:ascii="SimSun" w:hAnsi="SimSun" w:eastAsia="SimSun" w:cs="SimSun"/>
          <w:color w:val="000000"/>
          <w:sz w:val="32"/>
          <w:u w:val="single"/>
        </w:rPr>
        <w:t xml:space="preserve">                                 </w:t>
      </w:r>
      <w:r/>
    </w:p>
    <w:p>
      <w:pPr>
        <w:ind w:left="2180" w:right="0" w:hanging="16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2180" w:right="0" w:hanging="16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受托方（乙方）：</w:t>
      </w:r>
      <w:r>
        <w:rPr>
          <w:rFonts w:ascii="SimSun" w:hAnsi="SimSun" w:eastAsia="SimSun" w:cs="SimSun"/>
          <w:color w:val="000000"/>
          <w:sz w:val="32"/>
          <w:u w:val="single"/>
        </w:rPr>
        <w:t xml:space="preserve">                                 </w:t>
      </w:r>
      <w:r/>
    </w:p>
    <w:p>
      <w:pPr>
        <w:ind w:left="2180" w:right="0" w:hanging="16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2180" w:right="0" w:hanging="16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合同编号：</w:t>
      </w:r>
      <w:r>
        <w:rPr>
          <w:rFonts w:ascii="SimSun" w:hAnsi="SimSun" w:eastAsia="SimSun" w:cs="SimSun"/>
          <w:color w:val="000000"/>
          <w:sz w:val="32"/>
          <w:u w:val="single"/>
        </w:rPr>
        <w:t xml:space="preserve">                                       </w:t>
      </w:r>
      <w:r/>
    </w:p>
    <w:p>
      <w:pPr>
        <w:ind w:left="1636"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760" w:right="0" w:hanging="1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27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239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签订地点：</w:t>
      </w:r>
      <w:r>
        <w:rPr>
          <w:rFonts w:ascii="SimSun" w:hAnsi="SimSun" w:eastAsia="SimSun" w:cs="SimSun"/>
          <w:color w:val="000000"/>
          <w:sz w:val="32"/>
          <w:u w:val="single"/>
        </w:rPr>
        <w:t xml:space="preserve">                   </w:t>
      </w:r>
      <w:r/>
    </w:p>
    <w:p>
      <w:pPr>
        <w:ind w:left="0" w:right="0" w:firstLine="239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签订时间：</w:t>
      </w:r>
      <w:r>
        <w:rPr>
          <w:rFonts w:ascii="SimSun" w:hAnsi="SimSun" w:eastAsia="SimSun" w:cs="SimSun"/>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rPr>
          <w:rFonts w:ascii="SimSun" w:hAnsi="SimSun" w:eastAsia="SimSun" w:cs="SimSun"/>
          <w:color w:val="000000"/>
          <w:sz w:val="32"/>
          <w:u w:val="single"/>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本项目由甲方委托乙方承担，技术要求详见本合同第二条。项目地点为</w:t>
      </w:r>
      <w:r>
        <w:rPr>
          <w:rFonts w:ascii="SimSun" w:hAnsi="SimSun" w:eastAsia="SimSun" w:cs="SimSun"/>
          <w:color w:val="000000"/>
          <w:sz w:val="24"/>
          <w:u w:val="single"/>
        </w:rPr>
        <w:t xml:space="preserve"> 宿迁市 </w:t>
      </w:r>
      <w:r>
        <w:rPr>
          <w:rFonts w:ascii="SimSun" w:hAnsi="SimSun" w:eastAsia="SimSun" w:cs="SimSun"/>
          <w:color w:val="000000"/>
          <w:sz w:val="24"/>
        </w:rPr>
        <w:t xml:space="preserve">，为明确双方权责，经双方协商一致，签订本合同，共同遵守。</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本合同签订依据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《中华人民共和国民法典》《中华人民共和国城乡规划法》及其它相关法律、法规；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国家、省以及地方有关法规、规章及技术规范、标准及其它规定；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规划项目批准文件。</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本合同项目主要内容与成果要求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主要内容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依据《历史文化名城名镇名村保护条例》《江苏省历史文化名城名镇保护条例》《江苏省城乡规划条例》《历史文化名城名镇名村街区保护规划编制审批办法》等法律法规及相关政策要求，以充分的现场调查评估为基础，编制《宿迁市历史文化名城保护规划》《新盛街历史文化街区保护规划》《宿迁机床厂历史文化街区保护规划》。</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2.1.2为2026年度宿迁历史文化名城自评估及自评估报告编制提供技术支撑；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2.1.3为历史文化保护相关课题研究、专家交流、业务培训及2026年度“读城”行动提供技术支撑；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2.1.4为《宿迁市历史建筑保护管理办法》编制与历史文化遗产日常巡查保护工作机制、制度制定提供技术支撑。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成果要求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2.2.1名城、街区保护规划成果应符合《历史文化名城名镇名村保护规划编制要求（试行）》《历史文化名城保护规划标准（GBT 50357-2018 ）》《江苏省历史文化街区保护规划编制导则（试行）》等规定和要求。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规划成果材料应当包括纸质和电子两种文件。纸质文件为A4或A3纸质文本（具体以发包人要求为准）等，电子文件为word和pdf文档。</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编制依据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甲方提交的基础文件、资料；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国家及地方有关城乡规划技术规范和技术标准。</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文件和技术资料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4.1</w:t>
      </w:r>
      <w:r>
        <w:rPr>
          <w:rFonts w:ascii="SimSun" w:hAnsi="SimSun" w:eastAsia="SimSun" w:cs="SimSun"/>
          <w:color w:val="000000"/>
          <w:sz w:val="24"/>
        </w:rPr>
        <w:t xml:space="preserve">  甲方向乙方提交的文件及资料</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9"/>
        <w:gridCol w:w="2409"/>
        <w:gridCol w:w="1701"/>
        <w:gridCol w:w="849"/>
        <w:gridCol w:w="223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5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文件及资料名称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tc>
      </w:tr>
      <w:tr>
        <w:trPr>
          <w:trHeight w:val="7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5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相关规划及基础资料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根据调研需求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3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宿迁建设大厦</w:t>
            </w:r>
            <w:r/>
          </w:p>
        </w:tc>
      </w:tr>
    </w:tbl>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规划成果深度及进度要求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乙方向甲方交付的规划成果文件：</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1"/>
        <w:gridCol w:w="2235"/>
        <w:gridCol w:w="2887"/>
        <w:gridCol w:w="2462"/>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规划编制文件名称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8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深度要求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提交时间</w:t>
            </w:r>
            <w:r/>
          </w:p>
        </w:tc>
      </w:tr>
      <w:tr>
        <w:trPr>
          <w:trHeight w:val="85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规划初稿</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8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达到部门审核要求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合同签订后2个月内</w:t>
            </w:r>
            <w:r/>
          </w:p>
        </w:tc>
      </w:tr>
      <w:tr>
        <w:trPr>
          <w:trHeight w:val="85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省级审查稿</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8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达到省级部门审查要求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合同签订后3个月内</w:t>
            </w:r>
            <w:r/>
          </w:p>
        </w:tc>
      </w:tr>
      <w:tr>
        <w:trPr>
          <w:trHeight w:val="85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省/市政府报批稿</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8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内容完善到省政府/市政府报批需求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合同签订后4个月内</w:t>
            </w:r>
            <w:r/>
          </w:p>
        </w:tc>
      </w:tr>
      <w:tr>
        <w:trPr>
          <w:trHeight w:val="85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3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最终成果</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8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通过项目验收</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62"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省政府/市政府批复后一周内</w:t>
            </w:r>
            <w:r/>
          </w:p>
        </w:tc>
      </w:tr>
    </w:tbl>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注：分阶段提供纸质文件及电子文件，不仅限于表格内各主要阶段，提交数量以各阶段实际需求为准。</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经费及支付方式</w:t>
      </w:r>
      <w:r/>
    </w:p>
    <w:p>
      <w:pPr>
        <w:ind w:left="660" w:right="0" w:hanging="24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w:t>
      </w:r>
      <w:r>
        <w:rPr>
          <w:rFonts w:ascii="SimSun" w:hAnsi="SimSun" w:eastAsia="SimSun" w:cs="SimSun"/>
          <w:b/>
          <w:color w:val="000000"/>
          <w:sz w:val="24"/>
        </w:rPr>
        <w:t xml:space="preserve">经双方商定，由乙方承担本项目的合同总金额为人民币（大写）：</w:t>
      </w:r>
      <w:r>
        <w:rPr>
          <w:rFonts w:ascii="SimSun" w:hAnsi="SimSun" w:eastAsia="SimSun" w:cs="SimSun"/>
          <w:b/>
          <w:color w:val="000000"/>
          <w:sz w:val="24"/>
          <w:u w:val="single"/>
        </w:rPr>
        <w:t xml:space="preserve">       </w:t>
      </w:r>
      <w:r>
        <w:rPr>
          <w:rFonts w:ascii="SimSun" w:hAnsi="SimSun" w:eastAsia="SimSun" w:cs="SimSun"/>
          <w:b/>
          <w:color w:val="000000"/>
          <w:sz w:val="24"/>
        </w:rPr>
        <w:t xml:space="preserve">（小写：</w:t>
      </w:r>
      <w:r>
        <w:rPr>
          <w:rFonts w:ascii="SimSun" w:hAnsi="SimSun" w:eastAsia="SimSun" w:cs="SimSun"/>
          <w:b/>
          <w:color w:val="000000"/>
          <w:sz w:val="24"/>
          <w:u w:val="single"/>
        </w:rPr>
        <w:t xml:space="preserve">      </w:t>
      </w:r>
      <w:r>
        <w:rPr>
          <w:rFonts w:ascii="SimSun" w:hAnsi="SimSun" w:eastAsia="SimSun" w:cs="SimSun"/>
          <w:b/>
          <w:color w:val="000000"/>
          <w:sz w:val="24"/>
        </w:rPr>
        <w:t xml:space="preserve">）（乙方经费中包含但不限于项目考察学习、成果制作、规划评审、专家顾问、成果宣传、会务等费用）；</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规划编制费用按乙方工作进度支付，具体支付方式如下：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费用按照中标文件的“投标报价明细表”，划分为历史文化名城、新盛街历史文化街区、宿迁机床厂历史文化街区3个子项独立进行支付。合同签订后，支付至对应子项合同价款的20%作为预付款；名城/街区保护规划通过省级部门审查后，支付至对应子项合同价款的80%；获得省政府/市政府批复后，结清该子项剩余尾款。</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注：申请付款时乙方应提供合格的发票，否则，发包人可拒绝付款，且不免除乙方的合同义务。</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阶段性工作完成后，向甲方发出设计费用请款函，在相应工作得到甲方确认后，乙方向甲方出具符合甲方要求的合格发票，甲方收到合格发票后，按乙方各自占合同总金额的比例直接将经费按阶段分别汇到乙方各自指定的银行账户。上述付款，甲方不代扣或代缴任何税金。</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6.2.6鉴于甲方向政府财政部门申请资金等因素，具体付款事宜可以经双方友好协商安排。 </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规划编制过程中如遇规模或内容调整，超出本合同约定范围的，甲方应当出具书面变更通知单，对经费做相应调整，具体由双方协商确定。 </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双方权利义务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甲方权利义务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甲方应按本合同第六条之约定按时支付规划编制费用；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甲方在收到乙方提交相关规划编制成果后，应及时组织相关评审或验收；并将评审或验收结论于</w:t>
      </w:r>
      <w:r>
        <w:rPr>
          <w:rFonts w:ascii="SimSun" w:hAnsi="SimSun" w:eastAsia="SimSun" w:cs="SimSun"/>
          <w:color w:val="000000"/>
          <w:sz w:val="24"/>
          <w:u w:val="single"/>
        </w:rPr>
        <w:t xml:space="preserve">7</w:t>
      </w:r>
      <w:r>
        <w:rPr>
          <w:rFonts w:ascii="SimSun" w:hAnsi="SimSun" w:eastAsia="SimSun" w:cs="SimSun"/>
          <w:color w:val="000000"/>
          <w:sz w:val="24"/>
        </w:rPr>
        <w:t xml:space="preserve">日内以书面形式及时通知乙方；甲方在乙方提交修改后的规划编制成果后，应及时给予书面意见和结论，对符合合同约定的编制内容、编制深度和项目成果等要求的，按第六条规定支付相关费用；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  相关合同组成文件及补充协议中甲方应负的其他责任。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乙方权利义务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  乙方有按约获得经费的权利；</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乙方应组成固定的设计团队，并将设计团队组成人员的名单以及资质以书面形式告知甲方，同时明确项目负责人、驻场技术负责人；乙方应确保设计人员名单的准确性和稳定性；如乙方参与规划编制的人员专业能力及协调能力等达不到规划编制要求，甲方有权要求乙方及时更换人员；在任何情况下乙方需更换项目负责人的，必须得到甲方签字确认，如果乙方未经甲方许可擅自更换项目负责人，甲方有权解除合同，并要求乙方支付赔偿；</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7.2.3  乙方按本合同第五条规定向甲方交付成果。成果应符合国家及地方有关城乡规划技术规范、技术标准和合同约定的规划编制内容、技术深度要求；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7.2.4  乙方对其提交的规划编制成果质量负责，并负责对规划编制成果出现的遗漏或错误进行修改、补充；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7.2.5  乙方在项目过程中应派项目负责人参加甲方组织的关于该项目的相关讨论、论证、评审、验收等会议活动，乙方必须做好汇报、收集意见、听取相关会议的意见和建议等工作；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7.2.6  规划编制成果未能通过本合同第五条规定的各阶段审核的，乙方应在接到评审意见之日起，在规定的时间内，根据评审意见对规划编制成果文件进行修改、完善和补充后，提交审核；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7.2.7  乙方不得将甲方提供的资料及文件擅自修改、复制或向第三方转让或用于本项目以外的项目，如发生上述情况，乙方承担一切由此引起的后果并承担赔偿责任；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7.2.8  乙方因履行本合同所提交的规划编制成果的知识产权归甲方所有，未经甲方同意，乙方不得向第三方泄露、转让该规划编制成果或用于本合同外的项目；甲方有权就该规划编制成果进行使用或复制，无须征得乙方同意；如本合同因故提前终止，本合同的规划编制成果的知识产权归属不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7.2.9  相关合同组成文件及补充协议中乙方应负的其他责任。</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违约责任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甲方责任：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在合同履行期间，甲方擅自要求终止或解除合同的，乙方未开始编制工作的，不退回预付款；已开始编制工作的，甲方应根据乙方该阶段实际完成工作量支付经费。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乙方责任：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8.2.1  乙方未按中标文件及合同约定的数量、资格配置项目组人员（含驻场人员），甲方有权要求乙方在7日内整改到位，整改期间按每日合同总价的</w:t>
      </w:r>
      <w:r>
        <w:rPr>
          <w:rFonts w:ascii="SimSun" w:hAnsi="SimSun" w:eastAsia="SimSun" w:cs="SimSun"/>
          <w:color w:val="000000"/>
          <w:sz w:val="24"/>
          <w:u w:val="single"/>
        </w:rPr>
        <w:t xml:space="preserve"> 1‰ </w:t>
      </w:r>
      <w:r>
        <w:rPr>
          <w:rFonts w:ascii="SimSun" w:hAnsi="SimSun" w:eastAsia="SimSun" w:cs="SimSun"/>
          <w:color w:val="000000"/>
          <w:sz w:val="24"/>
        </w:rPr>
        <w:t xml:space="preserve">向甲方支付违约金；若逾期未整改或整改后仍不符合要求，甲方有权单方解除合同，乙方需退还招标人已支付的全部服务费用，并按合同总价的</w:t>
      </w:r>
      <w:r>
        <w:rPr>
          <w:rFonts w:ascii="SimSun" w:hAnsi="SimSun" w:eastAsia="SimSun" w:cs="SimSun"/>
          <w:color w:val="000000"/>
          <w:sz w:val="24"/>
          <w:u w:val="single"/>
        </w:rPr>
        <w:t xml:space="preserve"> 5% </w:t>
      </w:r>
      <w:r>
        <w:rPr>
          <w:rFonts w:ascii="SimSun" w:hAnsi="SimSun" w:eastAsia="SimSun" w:cs="SimSun"/>
          <w:color w:val="000000"/>
          <w:sz w:val="24"/>
        </w:rPr>
        <w:t xml:space="preserve">向招标人支付违约金，若造成招标人损失的，投标人需另行承担全部赔偿责任（包括但不限于工期延误损失、重新委托服务费用等）。</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8.2.2  未经招标人书面同意，乙方擅自更换项目负责人，每次向甲方支付合同总金额10%的违约金；乙方擅自更换驻场人员，每次向甲方支付合同总金额 </w:t>
      </w:r>
      <w:r>
        <w:rPr>
          <w:rFonts w:ascii="SimSun" w:hAnsi="SimSun" w:eastAsia="SimSun" w:cs="SimSun"/>
          <w:color w:val="000000"/>
          <w:sz w:val="24"/>
          <w:u w:val="single"/>
        </w:rPr>
        <w:t xml:space="preserve">5% </w:t>
      </w:r>
      <w:r>
        <w:rPr>
          <w:rFonts w:ascii="SimSun" w:hAnsi="SimSun" w:eastAsia="SimSun" w:cs="SimSun"/>
          <w:color w:val="000000"/>
          <w:sz w:val="24"/>
        </w:rPr>
        <w:t xml:space="preserve">的违约金；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8.2.3 驻场人员未按约定周期驻场，每缺勤一天，按合同总价的</w:t>
      </w:r>
      <w:r>
        <w:rPr>
          <w:rFonts w:ascii="SimSun" w:hAnsi="SimSun" w:eastAsia="SimSun" w:cs="SimSun"/>
          <w:color w:val="000000"/>
          <w:sz w:val="24"/>
          <w:u w:val="single"/>
        </w:rPr>
        <w:t xml:space="preserve">0.5‰</w:t>
      </w:r>
      <w:r>
        <w:rPr>
          <w:rFonts w:ascii="SimSun" w:hAnsi="SimSun" w:eastAsia="SimSun" w:cs="SimSun"/>
          <w:color w:val="000000"/>
          <w:sz w:val="24"/>
        </w:rPr>
        <w:t xml:space="preserve">向招标人支付违约金；累计缺勤超过30天，甲方有权单方解除合同，乙方需退还招标人已支付的全部服务费用，并按合同总价的</w:t>
      </w:r>
      <w:r>
        <w:rPr>
          <w:rFonts w:ascii="SimSun" w:hAnsi="SimSun" w:eastAsia="SimSun" w:cs="SimSun"/>
          <w:color w:val="000000"/>
          <w:sz w:val="24"/>
          <w:u w:val="single"/>
        </w:rPr>
        <w:t xml:space="preserve"> 5% </w:t>
      </w:r>
      <w:r>
        <w:rPr>
          <w:rFonts w:ascii="SimSun" w:hAnsi="SimSun" w:eastAsia="SimSun" w:cs="SimSun"/>
          <w:color w:val="000000"/>
          <w:sz w:val="24"/>
        </w:rPr>
        <w:t xml:space="preserve">向招标人支付违约金。</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8.2.4　由于乙方原因，未能按照第五条规定的时间交付相应成果，每延误一天，应减收该子项应收费用的</w:t>
      </w:r>
      <w:r>
        <w:rPr>
          <w:rFonts w:ascii="SimSun" w:hAnsi="SimSun" w:eastAsia="SimSun" w:cs="SimSun"/>
          <w:color w:val="000000"/>
          <w:sz w:val="24"/>
          <w:u w:val="single"/>
        </w:rPr>
        <w:t xml:space="preserve">1‰ </w:t>
      </w:r>
      <w:r>
        <w:rPr>
          <w:rFonts w:ascii="SimSun" w:hAnsi="SimSun" w:eastAsia="SimSun" w:cs="SimSun"/>
          <w:color w:val="000000"/>
          <w:sz w:val="24"/>
        </w:rPr>
        <w:t xml:space="preserve">。超过 </w:t>
      </w:r>
      <w:r>
        <w:rPr>
          <w:rFonts w:ascii="SimSun" w:hAnsi="SimSun" w:eastAsia="SimSun" w:cs="SimSun"/>
          <w:color w:val="000000"/>
          <w:sz w:val="24"/>
          <w:u w:val="single"/>
        </w:rPr>
        <w:t xml:space="preserve">30 </w:t>
      </w:r>
      <w:r>
        <w:rPr>
          <w:rFonts w:ascii="SimSun" w:hAnsi="SimSun" w:eastAsia="SimSun" w:cs="SimSun"/>
          <w:color w:val="000000"/>
          <w:sz w:val="24"/>
        </w:rPr>
        <w:t xml:space="preserve">日，甲方有权解除合同，合同自解除合同的书面通知到达乙方时自动解除，延误成果文件交付的乙方应当赔偿甲方由此而造成的其他损失，并支付合同总金额</w:t>
      </w:r>
      <w:r>
        <w:rPr>
          <w:rFonts w:ascii="SimSun" w:hAnsi="SimSun" w:eastAsia="SimSun" w:cs="SimSun"/>
          <w:color w:val="000000"/>
          <w:sz w:val="24"/>
          <w:u w:val="single"/>
        </w:rPr>
        <w:t xml:space="preserve"> 10% </w:t>
      </w:r>
      <w:r>
        <w:rPr>
          <w:rFonts w:ascii="SimSun" w:hAnsi="SimSun" w:eastAsia="SimSun" w:cs="SimSun"/>
          <w:color w:val="000000"/>
          <w:sz w:val="24"/>
        </w:rPr>
        <w:t xml:space="preserve">的违约金；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8.2.5　在合同履行期间，乙方要求终止或解除合同，乙方应返还甲方已支付的经费，赔偿甲方由此造成的所有损失，并支付合同总金额</w:t>
      </w:r>
      <w:r>
        <w:rPr>
          <w:rFonts w:ascii="SimSun" w:hAnsi="SimSun" w:eastAsia="SimSun" w:cs="SimSun"/>
          <w:color w:val="000000"/>
          <w:sz w:val="24"/>
          <w:u w:val="single"/>
        </w:rPr>
        <w:t xml:space="preserve"> 10% </w:t>
      </w:r>
      <w:r>
        <w:rPr>
          <w:rFonts w:ascii="SimSun" w:hAnsi="SimSun" w:eastAsia="SimSun" w:cs="SimSun"/>
          <w:color w:val="000000"/>
          <w:sz w:val="24"/>
        </w:rPr>
        <w:t xml:space="preserve">的违约金；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8.2.6 因乙方原因，导致编制成果在同一阶段再次审核未通过的，甲方有权解除合同，合同自解除合同的书面通知到达乙方之日起自动解除，并要求乙方退回已收取的合同价款，并支付合同总金额</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8.2.7 乙方对编制成果出现的遗漏或错误负责修改或补充。由于乙方错误造成工程质量事故损失，乙方除负责采取补救措施外，应免收受损失部分的编制经费，并根据损失程度向甲方支付赔偿金。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8.2.8 乙方违反本合同第7.2.7条的约定，将甲方提供的资料及文件擅自向第三方转让、泄露或用于本项目以外的项目，在合同履行期间内的，甲方有权解除合同，合同自解除合同的通知到达乙方时自动解除，乙方应当赔偿因此造成的损失，同时支付合同总金额</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的违约金，在合同履行期间以外的，乙方应当赔偿因此造成的损失并支付合同总金额</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8.2.9 乙方违反本合同第7.2.8条的约定，向第三方泄露、转让该规划编制成果或用于本合同外的项目，在合同履行期间内的，甲方有权解除合同，合同自解除合同的通知到达乙方时自动解除，乙方应当赔偿因此造成的损失，同时支付相当于合同总金额</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的违约金，在合同履行期间以外的，乙方应当赔偿因此造成的损失，同时支付合同总金额</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不可抗力</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如果发生签约时不能预见的事故，而双方又不能避免或克服其影响，该事故即构成不可抗力。这些事故包括但不限于自然灾害（如地震、失火、洪水、恶劣天气造成超过正常设计标准的风暴等）和战争；</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在履行本合同期间，由于各方面都无法控制的不可抗力因素而造成本合同无法履行或延迟履行，不应视为违约；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当不可抗力发生后，受害方应以最快的方式通知对方，并提供有效的书面证明，而且在任何情况下，均应积极采取措施，以消除或减少不可抗力所造成的影响；</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当不可抗力终止时，受害方同样应以最快的方式通知对方。</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争议解决方式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本合同在履行期间，双方如发生争议，应及时协商解决，协商不成的，任何一方均有权向甲方所在地人民法院提起诉讼。</w:t>
      </w:r>
      <w:r/>
    </w:p>
    <w:p>
      <w:pPr>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合同生效及其他</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本合同自双方单位法定代表人或委托代理人签字并盖章后生效，如有变动，必须经双方协商一致后，方可更改；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本合同项目开展过程中经双方认可的工作大纲、来往传真、会议纪要等均视为本合同的组成文件，如与合同文件存在歧义或不一致，则以后形成的文件内容为准；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合同未尽事宜，经双方协商一致，可另行签订补充协议，视为本合同的不可分割的组成部分，补充协议与本合同具有同等效力；如果补充协议与本合同存在歧义或不一致，则以补充协议为准；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本合同原件一式陆份，甲方执叁份；乙方执叁份。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甲方：单位名称（章）：</w:t>
      </w:r>
      <w:r>
        <w:rPr>
          <w:rFonts w:ascii="SimSun" w:hAnsi="SimSun" w:eastAsia="SimSun" w:cs="SimSun"/>
          <w:color w:val="000000"/>
          <w:sz w:val="24"/>
          <w:u w:val="single"/>
        </w:rPr>
        <w:t xml:space="preserve">                        </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rPr>
          <w:rFonts w:ascii="SimSun" w:hAnsi="SimSun" w:eastAsia="SimSun" w:cs="SimSun"/>
          <w:color w:val="000000"/>
          <w:sz w:val="32"/>
          <w:u w:val="single"/>
        </w:rPr>
        <w:t xml:space="preserve">    </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乙方：单位名称（章）：</w:t>
      </w:r>
      <w:r>
        <w:rPr>
          <w:rFonts w:ascii="SimSun" w:hAnsi="SimSun" w:eastAsia="SimSun" w:cs="SimSun"/>
          <w:color w:val="000000"/>
          <w:sz w:val="24"/>
          <w:u w:val="single"/>
        </w:rPr>
        <w:t xml:space="preserve">                         </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w:t>
      </w:r>
      <w:r>
        <w:rPr>
          <w:rFonts w:ascii="SimSun" w:hAnsi="SimSun" w:eastAsia="SimSun" w:cs="SimSun"/>
          <w:color w:val="000000"/>
          <w:sz w:val="24"/>
          <w:u w:val="single"/>
        </w:rPr>
        <w:t xml:space="preserve">                                    </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法定代表人：（章）</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委托代理人：（签名/章）</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                 </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  </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w:t>
      </w:r>
      <w:r/>
    </w:p>
    <w:p>
      <w:pPr>
        <w:ind w:left="0" w:right="0" w:firstLine="9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 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其他未列明行业。</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（接受/不接受）进口产品。</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一、项目背景</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宿迁市于2026 年 2 月获江苏省人民政府批复，成功跻身江苏省历史文化名城。根据《历史文化名城名镇名村保护条例》《江苏省历史文化名城名镇保护条例》及省政府批复要求，编制实施历史文化名城保护规划、历史文化街区保护规划，建立健全保护管理体系，明确保护对象、保护范围、管控要求与实施路径，依法依规推进历史文化保护传承工作。</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二、项目范围</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历史文化名城保护规划范围为宿迁市域（核心为历史城区）。历史文化街区保护规划范围为新盛街、宿迁机床厂历史文化街区核心保护范围和必要的建设控制地带。</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三、进度要求：6个月（不含审查和报批时间）</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四、主要内容</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依据《历史文化名城名镇名村保护条例》《江苏省历史文化名城名镇保护条例》《江苏省城乡规划条例》《历史文化名城名镇名村街区保护规划编制审批办法》等法律法规及相关政策要求，以充分的现场调查评估为基础，编制《宿迁市历史文化名城保护规划》《新盛街历史文化街区保护规划》《宿迁机床厂历史文化街区保护规划》。</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（二）为2026年度宿迁历史文化名城自评估及自评估报告编制提供技术支撑；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（三）为历史文化保护相关课题研究、专家交流、业务培训及2026年度“读城”行动提供技术支撑；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（四）为《宿迁市历史建筑保护管理办法》编制与历史文化遗产日常巡查保护工作机制、制度制定提供技术支撑。</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五、成果要求</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★（一）名城、街区保护规划成果应符合《历史文化名城名镇名村保护规划编制要求（试行）》《历史文化名城保护规划标准（GBT 50357-2018 ）》《江苏省历史文化街区保护规划编制导则（试行）》等规定和要求。</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★（二）规划成果材料应当包括纸质和电子两种文件。纸质文件为A4或A3纸质文本（具体以发包人要求为准）等，电子文件为word和pdf文档。</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六、付款方式：</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费用按照中标文件的“投标报价明细表”，划分为历史文化名城、新盛街历史文化街区、宿迁机床厂历史文化街区3个子项独立进行支付。合同签订后，支付至对应子项合同价款的20%作为预付款；名城/街区保护规划通过省级部门审查后，支付至对应子项合同价款的80%；获得省政府/市政府批复后，结清该子项剩余尾款。</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注：申请付款时中标人应提供合格的发票，否则，发包人可拒绝付款，且不免除中标人的合同义务。</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七、验收标准和要求</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名城、街区保护规划通过省政府/市政府批复后，采购人组织验收，并出具验收意见。</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八、项目组成员要求</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组人员构成。项目团队须专业结构合理、分工明确，核心成员需覆盖城市规划、历史文化遗产保护、建筑设计等相关专业，具备丰富的历史文化名城、历史文化街区规划编制经验，能够高效完成本项目全部规划编制工作。项目团队总人数不少于5人，所有成员须具备相应专业的从业资格证书，且在供应商单位正式任职（提供近6个月社保缴纳证明，退休人员需提供退休证明及劳务聘用协议）。</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驻场服务要求。项目推进期间，投标人需安排2名符合资格要求的专业人员驻场（驻场技术负责人、现场对接人），驻场自合同签订之日起，至规划项目完成报批（总时间最长不超过12个月），其中现场技术负责人根据调研、座谈、讨论等工作需要驻场办公，每月驻场时间一般不超过7天，现场对接人按照法定工作日驻场办公。驻场人员需为投标文件拟派项目组成员、企业正式员工，须具备规划编制相关项目经验，能够统筹推进驻场服务相关工作，及时解决现场技术问题。未经采购人书面同意，不得擅自更换驻场人员。</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驻场人员在采购人提供的指定场所办公，办公设备、人员食宿等其他内容由投标人自理。</w:t>
        <w:br w:type="page" w:clear="all"/>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  </w:t>
      </w:r>
      <w:r>
        <w:rPr>
          <w:rFonts w:ascii="SimSun" w:hAnsi="SimSun" w:eastAsia="SimSun" w:cs="SimSun"/>
          <w:b/>
          <w:color w:val="000000"/>
          <w:sz w:val="44"/>
        </w:rPr>
        <w:t xml:space="preserve"> 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4"/>
        <w:gridCol w:w="448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rHeight w:val="2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0"/>
        <w:gridCol w:w="449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rHeight w:val="1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格式、填写要求符合招标文件规定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三、评分办法—综合评分法</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 </w:t>
      </w:r>
      <w:r/>
    </w:p>
    <w:p>
      <w:pPr>
        <w:ind w:left="0" w:right="0" w:firstLine="241"/>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9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2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3"/>
        <w:gridCol w:w="1969"/>
        <w:gridCol w:w="893"/>
        <w:gridCol w:w="4446"/>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报价分（15分）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采用低价优先法计算，即满足招标文件要求且投标价格最低的投标报价为评标基准价，其价格分为满分。其他投标人投标报价得分＝（评标基准价/投标报价）*15.00。</w:t>
            </w:r>
            <w:r/>
          </w:p>
        </w:tc>
      </w:tr>
      <w:tr>
        <w:trPr>
          <w:trHeight w:val="15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企业业绩（10分）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（1）投标人2021年1月1日以来（以合同签订时间为准）：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①承担过国家历史文化名城或历史文化街区保护规划编制及修编的，每有一项得3分；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②承担过省级历史文化名城保护规划、省级历史文化保护体系规划、市（县）历史文化保护传承规划、国家历史文化名镇保护规划编制及修编的每有一项得2分，本小项最高得4分；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③承担过省级历史文化街区保护规划编制及修编的，每有一项得1分，本小项最高得3分；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本项最高得6分。</w:t>
            </w:r>
            <w:r/>
          </w:p>
          <w:p>
            <w:pPr>
              <w:numPr>
                <w:ilvl w:val="0"/>
                <w:numId w:val="2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投标人2021年1月1日以来（以合同签订时间为准）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①承担过国家历史文化名城中历史文化街区整体或部分片区保护方案设计的，每提供一项得2分；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②承担过省级历史文化名城中历史文化街区整体或部分片区保护方案设计的，每提供一项得1分，本小项最高得3分；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本项最高得4分。</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注：1.需提供业绩合同电子件。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业绩成果需通过相关论证、审查、审批或验收程序，提供项目专家论证意见、省级部门审查意见、市/县（区）规委会审查意见、市/县（区）政府（管委会）审查意见、省/市/县批复文件或项目验收单电子件（以上提供一项即可）。</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企业荣誉（6分）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企业荣誉</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2021年1月1日以来（以获奖证书颁发时间为准）承担的历史文化规划、修缮、更新、利用类项目获得行业主管部门颁发的国家级奖项，每有1个得3分；获得行业主管部门颁发的省级奖项，每有1个得2分；其他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本项最多得6分。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注：提供获奖证书电子件。</w:t>
            </w:r>
            <w:r/>
          </w:p>
        </w:tc>
      </w:tr>
      <w:tr>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60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项目组成员及荣誉（24分）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6" w:type="dxa"/>
            <w:vAlign w:val="center"/>
            <w:textDirection w:val="lrTb"/>
            <w:noWrap w:val="false"/>
          </w:tcPr>
          <w:p>
            <w:pPr>
              <w:numPr>
                <w:ilvl w:val="0"/>
                <w:numId w:val="2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拟派项目负责人具有正高职称（城乡规划、文物保护相关专业）的得2分；具有副高职称（城乡规划、文物保护相关专业）的得1分；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本项最高得2分。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（2）拟派项目负责人2021年1月1日以来，</w:t>
            </w:r>
            <w:r>
              <w:rPr>
                <w:rFonts w:ascii="SimSun" w:hAnsi="SimSun" w:eastAsia="SimSun" w:cs="SimSun"/>
                <w:b/>
                <w:color w:val="000000"/>
                <w:sz w:val="21"/>
              </w:rPr>
              <w:t xml:space="preserve">作为主要负责人：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①承担过国家历史文化名城或历史文化街区保护规划编制及修编的，每有一项得3分；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②承担过省级历史文化名城保护规划、省级历史文化保护体系规划、城市（县）保护传承规划编制及修编的，每有一项得2分；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③承担过省级历史文化街区保护规划编制（修编）的，每有一项得1分，本小项最高得4分；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④承担过国家或省级历史文化名城中历史文化街区整体或部分片区保护方案设计的，每有一项得1分，本小项最高得4分；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本项最高得6分。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（3）拟派项目负责人自2021年1月1日以来，</w:t>
            </w:r>
            <w:r>
              <w:rPr>
                <w:rFonts w:ascii="SimSun" w:hAnsi="SimSun" w:eastAsia="SimSun" w:cs="SimSun"/>
                <w:b/>
                <w:color w:val="000000"/>
                <w:sz w:val="21"/>
              </w:rPr>
              <w:t xml:space="preserve">作为主要负责人</w:t>
            </w:r>
            <w:r>
              <w:rPr>
                <w:rFonts w:ascii="SimSun" w:hAnsi="SimSun" w:eastAsia="SimSun" w:cs="SimSun"/>
                <w:color w:val="000000"/>
                <w:sz w:val="21"/>
              </w:rPr>
              <w:t xml:space="preserve">所承担的历史文化规划、修缮、更新、利用类项目获得行业主管部门颁发奖项的：国家级奖项，每有1个得2分；省级奖项，每有1个得1分；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本项最高得4分。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注：1、投标文件中需提供上述获奖证书（或证明）扫描件，时间以证书时间或网站公布时间为准，同一奖项以最高分计取；证明材料还应能证明该人员所获。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2、需提供业绩合同电子件（合同无法体现人员的，需提供业主方出具的参与人员说明）。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业绩成果需通过相关论证、审查、审批或验收程序，提供项目专家论证意见、省级部门审查意见、市/县（区）规委会审查意见、市/县（区）政府（管委会）审查意见、省/市/县批复文件或项目验收单电子件（以上提供一项即可）。</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拟派项目组成员（除项目负责人外）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（1）具有城乡规划、文物保护、建筑相关专业，正高级职称的每有1人得2分；副高级职称的每有1人得1分，本项最多得4分；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highlight w:val="white"/>
              </w:rPr>
              <w:t xml:space="preserve">具有注册城乡规划师执业资格</w:t>
            </w:r>
            <w:r>
              <w:rPr>
                <w:rFonts w:ascii="MS Gothic" w:hAnsi="MS Gothic" w:eastAsia="MS Gothic" w:cs="MS Gothic"/>
                <w:color w:val="000000"/>
                <w:sz w:val="21"/>
                <w:highlight w:val="white"/>
              </w:rPr>
              <w:t xml:space="preserve">‌</w:t>
            </w:r>
            <w:r>
              <w:rPr>
                <w:rFonts w:ascii="SimSun" w:hAnsi="SimSun" w:eastAsia="SimSun" w:cs="SimSun"/>
                <w:color w:val="000000"/>
                <w:sz w:val="21"/>
                <w:highlight w:val="white"/>
              </w:rPr>
              <w:t xml:space="preserve">的每有1人得1分，本项最多得3分。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highlight w:val="white"/>
              </w:rPr>
              <w:t xml:space="preserve">）</w:t>
            </w:r>
            <w:r>
              <w:rPr>
                <w:rFonts w:ascii="SimSun" w:hAnsi="SimSun" w:eastAsia="SimSun" w:cs="SimSun"/>
                <w:color w:val="000000"/>
                <w:sz w:val="21"/>
              </w:rPr>
              <w:t xml:space="preserve">具有文物保护责任设计师证书的每有1人得1分，本项目最多得2分；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w:t>
            </w:r>
            <w:r>
              <w:rPr>
                <w:rFonts w:ascii="SimSun" w:hAnsi="SimSun" w:eastAsia="SimSun" w:cs="SimSun"/>
                <w:color w:val="000000"/>
                <w:sz w:val="21"/>
              </w:rPr>
              <w:t xml:space="preserve">具有注册建筑师职业资格的每有1人得1分，本项目最多得1分；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（5）成员数量达到4人及以上（不含项目负责人）得2分，达不到得</w:t>
            </w:r>
            <w:r>
              <w:rPr>
                <w:rFonts w:ascii="SimSun" w:hAnsi="SimSun" w:eastAsia="SimSun" w:cs="SimSun"/>
                <w:color w:val="000000"/>
                <w:sz w:val="21"/>
              </w:rPr>
              <w:t xml:space="preserve">0分</w:t>
            </w:r>
            <w:r>
              <w:rPr>
                <w:rFonts w:ascii="SimSun" w:hAnsi="SimSun" w:eastAsia="SimSun" w:cs="SimSun"/>
                <w:color w:val="000000"/>
                <w:sz w:val="21"/>
                <w:highlight w:val="white"/>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注：提供相关证明证书电子件。同一人具有多项职称或职业资格的，可分别进行计算，请投标人在投标文件“九、项目组成员”表格中完整填报职称和职业资格信息。</w:t>
            </w:r>
            <w:r/>
          </w:p>
        </w:tc>
      </w:tr>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 （30分）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项目背景认知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根据投标人对江苏省历史文化名城保护相关法规政策、上位规划、编制要求的理解，对本项目编制的核心要点、关键问题、技术难点等内容的分析情况进行打分。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（1）理解深刻，熟悉整体情况，目标、任务、要求、重点、难点把握精准全面</w:t>
            </w:r>
            <w:r>
              <w:rPr>
                <w:rFonts w:ascii="SimSun" w:hAnsi="SimSun" w:eastAsia="SimSun" w:cs="SimSun"/>
                <w:color w:val="000000"/>
                <w:sz w:val="21"/>
                <w:highlight w:val="white"/>
              </w:rPr>
              <w:t xml:space="preserve">得</w:t>
            </w:r>
            <w:r>
              <w:rPr>
                <w:rFonts w:ascii="SimSun" w:hAnsi="SimSun" w:eastAsia="SimSun" w:cs="SimSun"/>
                <w:color w:val="000000"/>
                <w:sz w:val="21"/>
              </w:rPr>
              <w:t xml:space="preserve">14分；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（2）理解较为深刻，较熟悉项目情况，目标、任务、要求、重点、难点把握较准确</w:t>
            </w:r>
            <w:r>
              <w:rPr>
                <w:rFonts w:ascii="SimSun" w:hAnsi="SimSun" w:eastAsia="SimSun" w:cs="SimSun"/>
                <w:color w:val="000000"/>
                <w:sz w:val="21"/>
                <w:highlight w:val="white"/>
              </w:rPr>
              <w:t xml:space="preserve">得</w:t>
            </w:r>
            <w:r>
              <w:rPr>
                <w:rFonts w:ascii="SimSun" w:hAnsi="SimSun" w:eastAsia="SimSun" w:cs="SimSun"/>
                <w:color w:val="000000"/>
                <w:sz w:val="21"/>
              </w:rPr>
              <w:t xml:space="preserve">12分；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（3）基本了解整体情况，目标、任务、要求、重点、难点理解有一定认知和表述</w:t>
            </w:r>
            <w:r>
              <w:rPr>
                <w:rFonts w:ascii="SimSun" w:hAnsi="SimSun" w:eastAsia="SimSun" w:cs="SimSun"/>
                <w:color w:val="000000"/>
                <w:sz w:val="21"/>
                <w:highlight w:val="white"/>
              </w:rPr>
              <w:t xml:space="preserve">得</w:t>
            </w:r>
            <w:r>
              <w:rPr>
                <w:rFonts w:ascii="SimSun" w:hAnsi="SimSun" w:eastAsia="SimSun" w:cs="SimSun"/>
                <w:color w:val="000000"/>
                <w:sz w:val="21"/>
              </w:rPr>
              <w:t xml:space="preserve">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（4）理解较浅，对项目情况了解有限，目标、任务、要求、重点、难点把握不够准确</w:t>
            </w:r>
            <w:r>
              <w:rPr>
                <w:rFonts w:ascii="SimSun" w:hAnsi="SimSun" w:eastAsia="SimSun" w:cs="SimSun"/>
                <w:color w:val="000000"/>
                <w:sz w:val="21"/>
                <w:highlight w:val="white"/>
              </w:rPr>
              <w:t xml:space="preserve">得</w:t>
            </w:r>
            <w:r>
              <w:rPr>
                <w:rFonts w:ascii="SimSun" w:hAnsi="SimSun" w:eastAsia="SimSun" w:cs="SimSun"/>
                <w:color w:val="000000"/>
                <w:sz w:val="21"/>
              </w:rPr>
              <w:t xml:space="preserve">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（5）缺乏了解，理解把握不准确，但通过后期优化能满足采购需求的</w:t>
            </w:r>
            <w:r>
              <w:rPr>
                <w:rFonts w:ascii="SimSun" w:hAnsi="SimSun" w:eastAsia="SimSun" w:cs="SimSun"/>
                <w:color w:val="000000"/>
                <w:sz w:val="21"/>
                <w:highlight w:val="white"/>
              </w:rPr>
              <w:t xml:space="preserve">得</w:t>
            </w:r>
            <w:r>
              <w:rPr>
                <w:rFonts w:ascii="SimSun" w:hAnsi="SimSun" w:eastAsia="SimSun" w:cs="SimSun"/>
                <w:color w:val="000000"/>
                <w:sz w:val="21"/>
              </w:rPr>
              <w:t xml:space="preserve">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（6）没有内容</w:t>
            </w:r>
            <w:r>
              <w:rPr>
                <w:rFonts w:ascii="SimSun" w:hAnsi="SimSun" w:eastAsia="SimSun" w:cs="SimSun"/>
                <w:color w:val="000000"/>
                <w:sz w:val="21"/>
                <w:highlight w:val="white"/>
              </w:rPr>
              <w:t xml:space="preserve">得</w:t>
            </w:r>
            <w:r>
              <w:rPr>
                <w:rFonts w:ascii="SimSun" w:hAnsi="SimSun" w:eastAsia="SimSun" w:cs="SimSun"/>
                <w:color w:val="000000"/>
                <w:sz w:val="21"/>
              </w:rPr>
              <w:t xml:space="preserve">0分。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规划编制技术路线</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根据投标人对本项目提出的规划编制总体思路、技术路径、工作方法的科学性、合规性与可行性进行评分。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（1）技术思路优于采购要求，科学严谨、逻辑清晰、贴合实际、切实可行且创新突出</w:t>
            </w:r>
            <w:r>
              <w:rPr>
                <w:rFonts w:ascii="SimSun" w:hAnsi="SimSun" w:eastAsia="SimSun" w:cs="SimSun"/>
                <w:color w:val="000000"/>
                <w:sz w:val="21"/>
                <w:highlight w:val="white"/>
              </w:rPr>
              <w:t xml:space="preserve">得</w:t>
            </w:r>
            <w:r>
              <w:rPr>
                <w:rFonts w:ascii="SimSun" w:hAnsi="SimSun" w:eastAsia="SimSun" w:cs="SimSun"/>
                <w:color w:val="000000"/>
                <w:sz w:val="21"/>
              </w:rPr>
              <w:t xml:space="preserve">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（2）技术思路满足采购要求，科学合理、逻辑清晰、可行性强</w:t>
            </w:r>
            <w:r>
              <w:rPr>
                <w:rFonts w:ascii="SimSun" w:hAnsi="SimSun" w:eastAsia="SimSun" w:cs="SimSun"/>
                <w:color w:val="000000"/>
                <w:sz w:val="21"/>
                <w:highlight w:val="white"/>
              </w:rPr>
              <w:t xml:space="preserve">得</w:t>
            </w:r>
            <w:r>
              <w:rPr>
                <w:rFonts w:ascii="SimSun" w:hAnsi="SimSun" w:eastAsia="SimSun" w:cs="SimSun"/>
                <w:color w:val="000000"/>
                <w:sz w:val="21"/>
              </w:rPr>
              <w:t xml:space="preserve">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（3）技术思路基本符合采购要求，方案较合理、较具备可行性、无重大漏洞</w:t>
            </w:r>
            <w:r>
              <w:rPr>
                <w:rFonts w:ascii="SimSun" w:hAnsi="SimSun" w:eastAsia="SimSun" w:cs="SimSun"/>
                <w:color w:val="000000"/>
                <w:sz w:val="21"/>
                <w:highlight w:val="white"/>
              </w:rPr>
              <w:t xml:space="preserve">得</w:t>
            </w:r>
            <w:r>
              <w:rPr>
                <w:rFonts w:ascii="SimSun" w:hAnsi="SimSun" w:eastAsia="SimSun" w:cs="SimSun"/>
                <w:color w:val="000000"/>
                <w:sz w:val="21"/>
              </w:rPr>
              <w:t xml:space="preserve">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（4）技术思路不够清晰，方案、可行性存在少量瑕疵，但通过后期优化能满足采购需求</w:t>
            </w:r>
            <w:r>
              <w:rPr>
                <w:rFonts w:ascii="SimSun" w:hAnsi="SimSun" w:eastAsia="SimSun" w:cs="SimSun"/>
                <w:color w:val="000000"/>
                <w:sz w:val="21"/>
                <w:highlight w:val="white"/>
              </w:rPr>
              <w:t xml:space="preserve">得</w:t>
            </w:r>
            <w:r>
              <w:rPr>
                <w:rFonts w:ascii="SimSun" w:hAnsi="SimSun" w:eastAsia="SimSun" w:cs="SimSun"/>
                <w:color w:val="000000"/>
                <w:sz w:val="21"/>
              </w:rPr>
              <w:t xml:space="preserve">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（5）技术思路较为模糊，方案粗糙、可行性弱，需要整体优化调整，才能支撑工作开展</w:t>
            </w:r>
            <w:r>
              <w:rPr>
                <w:rFonts w:ascii="SimSun" w:hAnsi="SimSun" w:eastAsia="SimSun" w:cs="SimSun"/>
                <w:color w:val="000000"/>
                <w:sz w:val="21"/>
                <w:highlight w:val="white"/>
              </w:rPr>
              <w:t xml:space="preserve">得</w:t>
            </w:r>
            <w:r>
              <w:rPr>
                <w:rFonts w:ascii="SimSun" w:hAnsi="SimSun" w:eastAsia="SimSun" w:cs="SimSun"/>
                <w:color w:val="000000"/>
                <w:sz w:val="21"/>
              </w:rPr>
              <w:t xml:space="preserve">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（6）没有内容：</w:t>
            </w:r>
            <w:r>
              <w:rPr>
                <w:rFonts w:ascii="SimSun" w:hAnsi="SimSun" w:eastAsia="SimSun" w:cs="SimSun"/>
                <w:color w:val="000000"/>
                <w:sz w:val="21"/>
                <w:highlight w:val="white"/>
              </w:rPr>
              <w:t xml:space="preserve">得</w:t>
            </w:r>
            <w:r>
              <w:rPr>
                <w:rFonts w:ascii="SimSun" w:hAnsi="SimSun" w:eastAsia="SimSun" w:cs="SimSun"/>
                <w:color w:val="000000"/>
                <w:sz w:val="21"/>
              </w:rPr>
              <w:t xml:space="preserve">0分。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工作方案与进度安排</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根据投标人制定的工作方案完整性，以及组织架构设置、人员分工安排、关键节点设定、总体进度安排等核心内容的科学性进行打分。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（1）工作方案优于采购需求，完整系统、逻辑清晰，进度科学合理、完全符合工期</w:t>
            </w:r>
            <w:r>
              <w:rPr>
                <w:rFonts w:ascii="SimSun" w:hAnsi="SimSun" w:eastAsia="SimSun" w:cs="SimSun"/>
                <w:color w:val="000000"/>
                <w:sz w:val="21"/>
                <w:highlight w:val="white"/>
              </w:rPr>
              <w:t xml:space="preserve">得</w:t>
            </w:r>
            <w:r>
              <w:rPr>
                <w:rFonts w:ascii="SimSun" w:hAnsi="SimSun" w:eastAsia="SimSun" w:cs="SimSun"/>
                <w:color w:val="000000"/>
                <w:sz w:val="21"/>
              </w:rPr>
              <w:t xml:space="preserve">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（2）工作方满足采购需求，内容完整，进度合理、符合时间要求</w:t>
            </w:r>
            <w:r>
              <w:rPr>
                <w:rFonts w:ascii="SimSun" w:hAnsi="SimSun" w:eastAsia="SimSun" w:cs="SimSun"/>
                <w:color w:val="000000"/>
                <w:sz w:val="21"/>
                <w:highlight w:val="white"/>
              </w:rPr>
              <w:t xml:space="preserve">得</w:t>
            </w:r>
            <w:r>
              <w:rPr>
                <w:rFonts w:ascii="SimSun" w:hAnsi="SimSun" w:eastAsia="SimSun" w:cs="SimSun"/>
                <w:color w:val="000000"/>
                <w:sz w:val="21"/>
              </w:rPr>
              <w:t xml:space="preserve">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（3）工作方案基本满足采购需求，较为完整，进度较为合理、符合时间要求</w:t>
            </w:r>
            <w:r>
              <w:rPr>
                <w:rFonts w:ascii="SimSun" w:hAnsi="SimSun" w:eastAsia="SimSun" w:cs="SimSun"/>
                <w:color w:val="000000"/>
                <w:sz w:val="21"/>
                <w:highlight w:val="white"/>
              </w:rPr>
              <w:t xml:space="preserve">得</w:t>
            </w:r>
            <w:r>
              <w:rPr>
                <w:rFonts w:ascii="SimSun" w:hAnsi="SimSun" w:eastAsia="SimSun" w:cs="SimSun"/>
                <w:color w:val="000000"/>
                <w:sz w:val="21"/>
              </w:rPr>
              <w:t xml:space="preserve">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（4）工作方案完整性，进度存在少量不合理，但通过后期优化能满足采购需求</w:t>
            </w:r>
            <w:r>
              <w:rPr>
                <w:rFonts w:ascii="SimSun" w:hAnsi="SimSun" w:eastAsia="SimSun" w:cs="SimSun"/>
                <w:color w:val="000000"/>
                <w:sz w:val="21"/>
                <w:highlight w:val="white"/>
              </w:rPr>
              <w:t xml:space="preserve">得</w:t>
            </w:r>
            <w:r>
              <w:rPr>
                <w:rFonts w:ascii="SimSun" w:hAnsi="SimSun" w:eastAsia="SimSun" w:cs="SimSun"/>
                <w:color w:val="000000"/>
                <w:sz w:val="21"/>
              </w:rPr>
              <w:t xml:space="preserve">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（5）工作方案不符合需求，不完整或进度严重不符需要整体优化调整，才能支撑工作开展得2分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（6）没有内容：</w:t>
            </w:r>
            <w:r>
              <w:rPr>
                <w:rFonts w:ascii="SimSun" w:hAnsi="SimSun" w:eastAsia="SimSun" w:cs="SimSun"/>
                <w:color w:val="000000"/>
                <w:sz w:val="21"/>
                <w:highlight w:val="white"/>
              </w:rPr>
              <w:t xml:space="preserve">得</w:t>
            </w:r>
            <w:r>
              <w:rPr>
                <w:rFonts w:ascii="SimSun" w:hAnsi="SimSun" w:eastAsia="SimSun" w:cs="SimSun"/>
                <w:color w:val="000000"/>
                <w:sz w:val="21"/>
              </w:rPr>
              <w:t xml:space="preserve">0分。</w:t>
            </w:r>
            <w:r/>
          </w:p>
        </w:tc>
      </w:tr>
      <w:tr>
        <w:trPr/>
        <w:tc>
          <w:tcPr>
            <w:tcBorders>
              <w:top w:val="none" w:color="000000" w:sz="4" w:space="0"/>
              <w:left w:val="single" w:color="000000" w:sz="8" w:space="0"/>
              <w:bottom w:val="single" w:color="000000" w:sz="12" w:space="0"/>
              <w:right w:val="single" w:color="000000" w:sz="8" w:space="0"/>
            </w:tcBorders>
            <w:tcMar>
              <w:left w:w="0" w:type="dxa"/>
              <w:top w:w="0" w:type="dxa"/>
              <w:right w:w="0" w:type="dxa"/>
              <w:bottom w:w="0" w:type="dxa"/>
            </w:tcMar>
            <w:tcW w:w="160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服务保障与承诺（15分）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服务质量保障</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根据投标人质量管理体系、过程管理措施、人员保障措施、成果校核机制、评审汇报服务、报批跟踪服务、应急响应服务等支撑服务的承诺进行打分：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（1）保障体系全面完善，措施科学可行、服务承诺全面到位，确保高质量交付</w:t>
            </w:r>
            <w:r>
              <w:rPr>
                <w:rFonts w:ascii="SimSun" w:hAnsi="SimSun" w:eastAsia="SimSun" w:cs="SimSun"/>
                <w:color w:val="000000"/>
                <w:sz w:val="21"/>
                <w:highlight w:val="white"/>
              </w:rPr>
              <w:t xml:space="preserve">得</w:t>
            </w:r>
            <w:r>
              <w:rPr>
                <w:rFonts w:ascii="SimSun" w:hAnsi="SimSun" w:eastAsia="SimSun" w:cs="SimSun"/>
                <w:color w:val="000000"/>
                <w:sz w:val="21"/>
              </w:rPr>
              <w:t xml:space="preserve">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（2）保障体系完善，措施合理、服务承诺较全面，有效保障成果质量</w:t>
            </w:r>
            <w:r>
              <w:rPr>
                <w:rFonts w:ascii="SimSun" w:hAnsi="SimSun" w:eastAsia="SimSun" w:cs="SimSun"/>
                <w:color w:val="000000"/>
                <w:sz w:val="21"/>
                <w:highlight w:val="white"/>
              </w:rPr>
              <w:t xml:space="preserve">得</w:t>
            </w:r>
            <w:r>
              <w:rPr>
                <w:rFonts w:ascii="SimSun" w:hAnsi="SimSun" w:eastAsia="SimSun" w:cs="SimSun"/>
                <w:color w:val="000000"/>
                <w:sz w:val="21"/>
              </w:rPr>
              <w:t xml:space="preserve">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（3）保障体系满足需求，措施较完善、具备可行性与针对性</w:t>
            </w:r>
            <w:r>
              <w:rPr>
                <w:rFonts w:ascii="SimSun" w:hAnsi="SimSun" w:eastAsia="SimSun" w:cs="SimSun"/>
                <w:color w:val="000000"/>
                <w:sz w:val="21"/>
                <w:highlight w:val="white"/>
              </w:rPr>
              <w:t xml:space="preserve">得</w:t>
            </w:r>
            <w:r>
              <w:rPr>
                <w:rFonts w:ascii="SimSun" w:hAnsi="SimSun" w:eastAsia="SimSun" w:cs="SimSun"/>
                <w:color w:val="000000"/>
                <w:sz w:val="21"/>
              </w:rPr>
              <w:t xml:space="preserve">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（4）保障体系基本满足需求，措施、可行性存在少量瑕疵，但通过后期优化能满足采购需求</w:t>
            </w:r>
            <w:r>
              <w:rPr>
                <w:rFonts w:ascii="SimSun" w:hAnsi="SimSun" w:eastAsia="SimSun" w:cs="SimSun"/>
                <w:color w:val="000000"/>
                <w:sz w:val="21"/>
                <w:highlight w:val="white"/>
              </w:rPr>
              <w:t xml:space="preserve">得</w:t>
            </w:r>
            <w:r>
              <w:rPr>
                <w:rFonts w:ascii="SimSun" w:hAnsi="SimSun" w:eastAsia="SimSun" w:cs="SimSun"/>
                <w:color w:val="000000"/>
                <w:sz w:val="21"/>
              </w:rPr>
              <w:t xml:space="preserve">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（5）保障体系不完善，措施薄弱、保障力度不足，需要整体优化调整，才能支撑工作开展得1分；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（6）没有内容：</w:t>
            </w:r>
            <w:r>
              <w:rPr>
                <w:rFonts w:ascii="SimSun" w:hAnsi="SimSun" w:eastAsia="SimSun" w:cs="SimSun"/>
                <w:color w:val="000000"/>
                <w:sz w:val="21"/>
                <w:highlight w:val="white"/>
              </w:rPr>
              <w:t xml:space="preserve">得</w:t>
            </w:r>
            <w:r>
              <w:rPr>
                <w:rFonts w:ascii="SimSun" w:hAnsi="SimSun" w:eastAsia="SimSun" w:cs="SimSun"/>
                <w:color w:val="000000"/>
                <w:sz w:val="21"/>
              </w:rPr>
              <w:t xml:space="preserve">0分。</w:t>
            </w:r>
            <w:r/>
          </w:p>
        </w:tc>
      </w:tr>
      <w:tr>
        <w:trPr>
          <w:trHeight w:val="186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其他服务承诺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对历史文化街区、历史地段、历史建筑后续保护、修缮、活化利用等方面提供技术咨询与支撑服务的承诺进行打分：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（1）承诺为2026年度宿迁历史文化名城自评估及自评估报告编制提供技术支撑：得3分。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（2）承诺为历史文化保护相关课题研究、专家交流、业务培训及2026年度“读城”行动提供技术支撑：得3分。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（3）承诺为《宿迁市历史建筑保护管理办法》编制与历史文化遗产日常巡查保护工作机制、制度制定提供技术支撑：得2分。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（4）承诺按采购需求相关要求，安排专业人员驻场的：得2分。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（三）评标结果。</w:t>
      </w:r>
      <w:r>
        <w:rPr>
          <w:rFonts w:ascii="SimSun" w:hAnsi="SimSun" w:eastAsia="SimSun" w:cs="SimSun"/>
          <w:color w:val="000000"/>
          <w:sz w:val="24"/>
        </w:rPr>
        <w:t xml:space="preserve">评标委员会按照本办法规定推荐中标候选人，并形成评标报告。</w:t>
      </w:r>
      <w:r/>
    </w:p>
    <w:p>
      <w:pPr>
        <w:ind w:left="0" w:right="0" w:firstLine="24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（四）政府采购政策功能落实</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本项目落实的政府采购政策对应以下序号为</w:t>
      </w:r>
      <w:r>
        <w:rPr>
          <w:rFonts w:ascii="SimSun" w:hAnsi="SimSun" w:eastAsia="SimSun" w:cs="SimSun"/>
          <w:b/>
          <w:color w:val="000000"/>
          <w:sz w:val="24"/>
          <w:u w:val="single"/>
        </w:rPr>
        <w:t xml:space="preserve"> 1、2 </w:t>
      </w:r>
      <w:r/>
    </w:p>
    <w:p>
      <w:pPr>
        <w:numPr>
          <w:ilvl w:val="0"/>
          <w:numId w:val="24"/>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采购本国货物、工程和服务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（2）</w:t>
      </w:r>
      <w:r>
        <w:rPr>
          <w:rFonts w:ascii="SimSun" w:hAnsi="SimSun" w:eastAsia="SimSun" w:cs="SimSun"/>
          <w:b/>
          <w:color w:val="000000"/>
          <w:sz w:val="24"/>
          <w:u w:val="single"/>
        </w:rPr>
        <w:t xml:space="preserve">  </w:t>
      </w:r>
      <w:r>
        <w:rPr>
          <w:rFonts w:ascii="SimSun" w:hAnsi="SimSun" w:eastAsia="SimSun" w:cs="SimSun"/>
          <w:color w:val="000000"/>
          <w:sz w:val="24"/>
        </w:rPr>
        <w:t xml:space="preserve">种政策确定本项目落实的中小企业政策：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（1）本项目专门面向中小企业（含监狱企业、残疾人福利企业）采购。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（2）投标人提供的服务符合下列情形的，对小微企业报价给予</w:t>
      </w:r>
      <w:r>
        <w:rPr>
          <w:rFonts w:ascii="SimSun" w:hAnsi="SimSun" w:eastAsia="SimSun" w:cs="SimSun"/>
          <w:color w:val="000000"/>
          <w:sz w:val="24"/>
          <w:u w:val="single"/>
        </w:rPr>
        <w:t xml:space="preserve">  10 %</w:t>
      </w:r>
      <w:r>
        <w:rPr>
          <w:rFonts w:ascii="SimSun" w:hAnsi="SimSun" w:eastAsia="SimSun" w:cs="SimSun"/>
          <w:color w:val="000000"/>
          <w:sz w:val="24"/>
        </w:rPr>
        <w:t xml:space="preserve">的扣除，用扣除后的价格参加评审。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在服务采购项目中，服务由中小企业承接，即提供服务的人员为中小企业依照《中华人民共和国民法典》订立劳动合同的从业人员。</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3、政府采购节能产品、环境标志产品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（3）采购人拟采购的产品属于优先采购的节能环保品目清单范围的，按以下条件优先采购：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4、商品包装、快递包装政府采购需求标准（试行）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5、绿色数据中心政府采购需求标准（试行）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84"/>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  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一、投标声明及承诺函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六、投标报价明细表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十一、企业荣誉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十二、投标所需其他材料</w:t>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项目的招标文件，我方在参加本项目招投标活动中，特作出如下承诺：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三、我方按招标文件要求提交投标文件，响应招标文件规定的投标有效期；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六、我方同意采购人、采购代理机构将本声明及承诺函上网公开。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注册号或社会信用代码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投标人类别</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top"/>
            <w:textDirection w:val="lrTb"/>
            <w:noWrap w:val="false"/>
          </w:tcPr>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分包号：</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六、投标报价明细表</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9"/>
        <w:gridCol w:w="1168"/>
        <w:gridCol w:w="1181"/>
        <w:gridCol w:w="847"/>
        <w:gridCol w:w="1103"/>
        <w:gridCol w:w="1483"/>
        <w:gridCol w:w="164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《宿迁市历史文化名城保护规划》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《新盛街历史文化街区保护规划》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《宿迁机床厂历史文化街区保护规划》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“投标分项报价表”中“投标总报价”数额应当与“开标一览表”中“投标总报价”数额一致。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strike/>
          <w:color w:val="000000"/>
          <w:sz w:val="32"/>
        </w:rPr>
        <w:t xml:space="preserve"> </w:t>
      </w:r>
      <w:r/>
    </w:p>
    <w:p>
      <w:pPr>
        <w:pStyle w:val="686"/>
        <w:ind w:left="0" w:right="0" w:firstLine="0"/>
        <w:spacing w:before="120" w:after="12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七、中小企业声明函（服务）（分包号：JSZC-321300-JYGS-G2026-0004）</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本公司（联合体）郑重声明，根据《政府采购促进中小企业发展管理办法》（财库〔2020〕46号）的规定，本公司（联合体）参加江苏省政府采购代理机构组织的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年___月___日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（备注：1、投标人如不提供此声明函，价格将不做相应扣除。2、中标人为残疾人福利单位的，此声明函将随中标结果同时公告，接受社会监督。）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年___月___日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八、技术要求响应及偏离表（分包号：JSZC-321300-JYGS-G2026-0004）</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i/>
                <w:color w:val="000000"/>
                <w:sz w:val="24"/>
                <w:u w:val="single"/>
              </w:rPr>
              <w:t xml:space="preserve">加斜体下划线内容或</w:t>
            </w:r>
            <w:r>
              <w:rPr>
                <w:rFonts w:ascii="SimSun" w:hAnsi="SimSun" w:eastAsia="SimSun" w:cs="SimSun"/>
                <w:color w:val="000000"/>
                <w:sz w:val="24"/>
              </w:rPr>
              <w:t xml:space="preserve">打“★”内容）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1.投标人必须对技术要求和商务要求中的实质性要求（加斜体下划线内容或打“★”内容）做出明确响应，否则作无效响应处理。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九、项目组人员</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5"/>
        <w:gridCol w:w="1333"/>
        <w:gridCol w:w="1837"/>
        <w:gridCol w:w="1397"/>
        <w:gridCol w:w="1412"/>
        <w:gridCol w:w="1799"/>
      </w:tblGrid>
      <w:tr>
        <w:trPr>
          <w:trHeight w:val="16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执业证书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荣誉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2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56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398"/>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注：如投标人中标，项目组成员必须按本表承诺人员操作，不得随意更换。按投标文件要求附相关人员证书。</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433"/>
        <w:gridCol w:w="139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5"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注：请填写此表，并按要求上传业绩资料电子件。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2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企业荣誉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企业荣誉</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9"/>
        <w:gridCol w:w="3827"/>
        <w:gridCol w:w="2098"/>
        <w:gridCol w:w="1730"/>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98"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颁发单位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3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颁发时间</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8"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3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8"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3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8"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3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9" w:type="dxa"/>
            <w:vAlign w:val="top"/>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27"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8"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30" w:type="dxa"/>
            <w:vAlign w:val="center"/>
            <w:textDirection w:val="lrTb"/>
            <w:noWrap w:val="false"/>
          </w:tcPr>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十二、投标所需其他材料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6.质疑投标人为自然人的，质疑函应由本人签字；质疑投标人为法人或者其他组织的，质疑函应由法定代表人、主要负责人，或者其授权代表签字或者盖章，并加盖公章。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MS Gothic">
    <w:panose1 w:val="020B0609070205080204"/>
  </w:font>
  <w:font w:name="SimHei">
    <w:panose1 w:val="02010609060101010101"/>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第%1章"/>
      <w:lvlJc w:val="left"/>
      <w:pPr>
        <w:ind w:left="1440" w:hanging="1440"/>
      </w:pPr>
      <w:rPr>
        <w:rFonts w:ascii="SimHei" w:hAnsi="SimHei" w:eastAsia="SimHei" w:cs="SimHe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uiPriority w:val="34"/>
    <w:qFormat/>
    <w:pPr>
      <w:contextualSpacing/>
      <w:ind w:left="720"/>
    </w:pPr>
  </w:style>
  <w:style w:type="paragraph" w:styleId="703">
    <w:name w:val="No Spacing"/>
    <w:uiPriority w:val="1"/>
    <w:qFormat/>
    <w:pPr>
      <w:spacing w:before="0" w:after="0" w:line="240" w:lineRule="auto"/>
    </w:pPr>
  </w:style>
  <w:style w:type="paragraph" w:styleId="704">
    <w:name w:val="Title"/>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link w:val="709"/>
    <w:uiPriority w:val="29"/>
    <w:qFormat/>
    <w:pPr>
      <w:ind w:left="720" w:right="720"/>
    </w:pPr>
    <w:rPr>
      <w:i/>
    </w:rPr>
  </w:style>
  <w:style w:type="character" w:styleId="709">
    <w:name w:val="Quote Char"/>
    <w:link w:val="708"/>
    <w:uiPriority w:val="29"/>
    <w:rPr>
      <w:i/>
    </w:rPr>
  </w:style>
  <w:style w:type="paragraph" w:styleId="710">
    <w:name w:val="Intense Quote"/>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uiPriority w:val="39"/>
    <w:unhideWhenUsed/>
    <w:pPr>
      <w:ind w:left="0" w:right="0" w:firstLine="0"/>
      <w:spacing w:after="57"/>
    </w:pPr>
  </w:style>
  <w:style w:type="paragraph" w:styleId="852">
    <w:name w:val="toc 2"/>
    <w:uiPriority w:val="39"/>
    <w:unhideWhenUsed/>
    <w:pPr>
      <w:ind w:left="283" w:right="0" w:firstLine="0"/>
      <w:spacing w:after="57"/>
    </w:pPr>
  </w:style>
  <w:style w:type="paragraph" w:styleId="853">
    <w:name w:val="toc 3"/>
    <w:uiPriority w:val="39"/>
    <w:unhideWhenUsed/>
    <w:pPr>
      <w:ind w:left="567" w:right="0" w:firstLine="0"/>
      <w:spacing w:after="57"/>
    </w:pPr>
  </w:style>
  <w:style w:type="paragraph" w:styleId="854">
    <w:name w:val="toc 4"/>
    <w:uiPriority w:val="39"/>
    <w:unhideWhenUsed/>
    <w:pPr>
      <w:ind w:left="850" w:right="0" w:firstLine="0"/>
      <w:spacing w:after="57"/>
    </w:pPr>
  </w:style>
  <w:style w:type="paragraph" w:styleId="855">
    <w:name w:val="toc 5"/>
    <w:uiPriority w:val="39"/>
    <w:unhideWhenUsed/>
    <w:pPr>
      <w:ind w:left="1134" w:right="0" w:firstLine="0"/>
      <w:spacing w:after="57"/>
    </w:pPr>
  </w:style>
  <w:style w:type="paragraph" w:styleId="856">
    <w:name w:val="toc 6"/>
    <w:uiPriority w:val="39"/>
    <w:unhideWhenUsed/>
    <w:pPr>
      <w:ind w:left="1417" w:right="0" w:firstLine="0"/>
      <w:spacing w:after="57"/>
    </w:pPr>
  </w:style>
  <w:style w:type="paragraph" w:styleId="857">
    <w:name w:val="toc 7"/>
    <w:uiPriority w:val="39"/>
    <w:unhideWhenUsed/>
    <w:pPr>
      <w:ind w:left="1701" w:right="0" w:firstLine="0"/>
      <w:spacing w:after="57"/>
    </w:pPr>
  </w:style>
  <w:style w:type="paragraph" w:styleId="858">
    <w:name w:val="toc 8"/>
    <w:uiPriority w:val="39"/>
    <w:unhideWhenUsed/>
    <w:pPr>
      <w:ind w:left="1984" w:right="0" w:firstLine="0"/>
      <w:spacing w:after="57"/>
    </w:pPr>
  </w:style>
  <w:style w:type="paragraph" w:styleId="859">
    <w:name w:val="toc 9"/>
    <w:uiPriority w:val="39"/>
    <w:unhideWhenUsed/>
    <w:pPr>
      <w:ind w:left="2268" w:right="0" w:firstLine="0"/>
      <w:spacing w:after="57"/>
    </w:pPr>
  </w:style>
  <w:style w:type="paragraph" w:styleId="860">
    <w:name w:val="TOC Heading"/>
    <w:uiPriority w:val="39"/>
    <w:unhideWhenUsed/>
  </w:style>
  <w:style w:type="paragraph" w:styleId="861">
    <w:name w:val="table of figures"/>
    <w:uiPriority w:val="99"/>
    <w:unhideWhenUsed/>
    <w:pPr>
      <w:spacing w:after="0" w:afterAutospacing="0"/>
    </w:pPr>
  </w:style>
  <w:style w:type="character" w:styleId="862" w:default="1">
    <w:name w:val="Default Paragraph Font"/>
    <w:uiPriority w:val="1"/>
    <w:semiHidden/>
    <w:unhideWhenUsed/>
  </w:style>
  <w:style w:type="numbering" w:styleId="863" w:default="1">
    <w:name w:val="No List"/>
    <w:uiPriority w:val="99"/>
    <w:semiHidden/>
    <w:unhideWhenUsed/>
  </w:style>
  <w:style w:type="paragraph" w:styleId="864" w:default="1">
    <w:name w:val="Normal"/>
    <w:qFormat/>
  </w:style>
  <w:style w:type="table" w:styleId="8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沈鹏程</cp:lastModifiedBy>
  <cp:revision>7</cp:revision>
  <dcterms:created xsi:type="dcterms:W3CDTF">2026-06-04T05:08:18Z</dcterms:created>
  <dcterms:modified xsi:type="dcterms:W3CDTF">2026-06-05T08:06:56Z</dcterms:modified>
</cp:coreProperties>
</file>